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68" w:rsidRPr="007E5F68" w:rsidRDefault="007E5F68" w:rsidP="007E5F68">
      <w:pPr>
        <w:spacing w:after="0" w:line="240" w:lineRule="auto"/>
        <w:rPr>
          <w:b/>
        </w:rPr>
      </w:pPr>
      <w:r w:rsidRPr="007E5F68">
        <w:rPr>
          <w:b/>
        </w:rPr>
        <w:t xml:space="preserve">GRID COMPUTING FOR MULTI-SCALE ATMOSPHERIC COMPOSITION </w:t>
      </w:r>
    </w:p>
    <w:p w:rsidR="007E5F68" w:rsidRPr="007E5F68" w:rsidRDefault="007E5F68" w:rsidP="007E5F68">
      <w:pPr>
        <w:spacing w:after="0" w:line="240" w:lineRule="auto"/>
        <w:rPr>
          <w:b/>
          <w:lang w:val="en-GB"/>
        </w:rPr>
      </w:pPr>
      <w:r w:rsidRPr="007E5F68">
        <w:rPr>
          <w:b/>
        </w:rPr>
        <w:t>MODELLING FOR THE BALKAN REGION</w:t>
      </w:r>
    </w:p>
    <w:p w:rsidR="007E5F68" w:rsidRPr="007E5F68" w:rsidRDefault="007E5F68" w:rsidP="007E5F68">
      <w:pPr>
        <w:spacing w:after="0" w:line="240" w:lineRule="auto"/>
        <w:rPr>
          <w:lang w:val="en-GB"/>
        </w:rPr>
      </w:pPr>
      <w:r w:rsidRPr="007E5F68">
        <w:rPr>
          <w:lang w:val="en-GB"/>
        </w:rPr>
        <w:t>Dimiter E. Syrakov</w:t>
      </w:r>
      <w:r w:rsidRPr="007E5F68">
        <w:rPr>
          <w:vertAlign w:val="superscript"/>
          <w:lang w:val="en-GB"/>
        </w:rPr>
        <w:t>1</w:t>
      </w:r>
      <w:r w:rsidRPr="007E5F68">
        <w:rPr>
          <w:lang w:val="en-GB"/>
        </w:rPr>
        <w:t>, Maria Prodanova</w:t>
      </w:r>
      <w:r w:rsidRPr="007E5F68">
        <w:rPr>
          <w:vertAlign w:val="superscript"/>
          <w:lang w:val="en-GB"/>
        </w:rPr>
        <w:t>1</w:t>
      </w:r>
      <w:r w:rsidRPr="007E5F68">
        <w:rPr>
          <w:lang w:val="en-GB"/>
        </w:rPr>
        <w:t>, Kostadin G. Ganev</w:t>
      </w:r>
      <w:r w:rsidRPr="007E5F68">
        <w:rPr>
          <w:vertAlign w:val="superscript"/>
          <w:lang w:val="en-GB"/>
        </w:rPr>
        <w:t>2</w:t>
      </w:r>
      <w:r w:rsidRPr="007E5F68">
        <w:rPr>
          <w:lang w:val="en-GB"/>
        </w:rPr>
        <w:t>, Nikolai G. Miloshev</w:t>
      </w:r>
      <w:r w:rsidRPr="007E5F68">
        <w:rPr>
          <w:vertAlign w:val="superscript"/>
          <w:lang w:val="en-GB"/>
        </w:rPr>
        <w:t>2</w:t>
      </w:r>
      <w:r w:rsidRPr="007E5F68">
        <w:rPr>
          <w:lang w:val="en-GB"/>
        </w:rPr>
        <w:t xml:space="preserve">, </w:t>
      </w:r>
    </w:p>
    <w:p w:rsidR="007E5F68" w:rsidRPr="007E5F68" w:rsidRDefault="007E5F68" w:rsidP="007E5F68">
      <w:pPr>
        <w:spacing w:after="0" w:line="240" w:lineRule="auto"/>
        <w:rPr>
          <w:lang w:val="en-GB"/>
        </w:rPr>
      </w:pPr>
      <w:r w:rsidRPr="007E5F68">
        <w:rPr>
          <w:bCs/>
        </w:rPr>
        <w:t>Emanouil I. Atanasov</w:t>
      </w:r>
      <w:r w:rsidRPr="007E5F68">
        <w:rPr>
          <w:bCs/>
          <w:vertAlign w:val="superscript"/>
        </w:rPr>
        <w:t>3</w:t>
      </w:r>
      <w:r w:rsidRPr="007E5F68">
        <w:rPr>
          <w:bCs/>
        </w:rPr>
        <w:t>, Todor V. Gurov</w:t>
      </w:r>
      <w:r w:rsidRPr="007E5F68">
        <w:rPr>
          <w:bCs/>
          <w:vertAlign w:val="superscript"/>
        </w:rPr>
        <w:t>3</w:t>
      </w:r>
      <w:r w:rsidRPr="007E5F68">
        <w:rPr>
          <w:bCs/>
        </w:rPr>
        <w:t xml:space="preserve">, and Aneta </w:t>
      </w:r>
      <w:r w:rsidRPr="007E5F68">
        <w:t>N.</w:t>
      </w:r>
      <w:r w:rsidRPr="007E5F68">
        <w:rPr>
          <w:bCs/>
        </w:rPr>
        <w:t xml:space="preserve"> Karaivanova</w:t>
      </w:r>
      <w:r w:rsidRPr="007E5F68">
        <w:rPr>
          <w:bCs/>
          <w:vertAlign w:val="superscript"/>
        </w:rPr>
        <w:t>3</w:t>
      </w:r>
    </w:p>
    <w:p w:rsidR="007E5F68" w:rsidRPr="007E5F68" w:rsidRDefault="007E5F68" w:rsidP="007E5F68">
      <w:pPr>
        <w:spacing w:after="0" w:line="240" w:lineRule="auto"/>
        <w:rPr>
          <w:lang w:val="en-GB"/>
        </w:rPr>
      </w:pPr>
      <w:r w:rsidRPr="007E5F68">
        <w:rPr>
          <w:vertAlign w:val="superscript"/>
          <w:lang w:val="en-GB"/>
        </w:rPr>
        <w:t>1</w:t>
      </w:r>
      <w:r w:rsidRPr="007E5F68">
        <w:rPr>
          <w:lang w:val="en-GB"/>
        </w:rPr>
        <w:t xml:space="preserve">National Institute of Meteorology and Hydrology, Bulgarian Academy of Sciences, </w:t>
      </w:r>
    </w:p>
    <w:p w:rsidR="007E5F68" w:rsidRPr="007E5F68" w:rsidRDefault="007E5F68" w:rsidP="007E5F68">
      <w:pPr>
        <w:spacing w:after="0" w:line="240" w:lineRule="auto"/>
        <w:rPr>
          <w:lang w:val="en-GB"/>
        </w:rPr>
      </w:pPr>
      <w:r w:rsidRPr="007E5F68">
        <w:rPr>
          <w:lang w:val="en-GB"/>
        </w:rPr>
        <w:t>66 Tzarigradsko Chausee, Sofia 1784, Bulgaria</w:t>
      </w:r>
    </w:p>
    <w:p w:rsidR="007E5F68" w:rsidRPr="007E5F68" w:rsidRDefault="007E5F68" w:rsidP="007E5F68">
      <w:pPr>
        <w:spacing w:after="0" w:line="240" w:lineRule="auto"/>
        <w:rPr>
          <w:lang w:val="en-GB"/>
        </w:rPr>
      </w:pPr>
      <w:r w:rsidRPr="007E5F68">
        <w:rPr>
          <w:vertAlign w:val="superscript"/>
          <w:lang w:val="en-GB"/>
        </w:rPr>
        <w:t>2</w:t>
      </w:r>
      <w:r w:rsidRPr="007E5F68">
        <w:rPr>
          <w:lang w:val="en-GB"/>
        </w:rPr>
        <w:t xml:space="preserve">Geophysical Institute, Bulgarian Academy of Sciences, Acad. G. Bonchev Str., </w:t>
      </w:r>
    </w:p>
    <w:p w:rsidR="007E5F68" w:rsidRPr="007E5F68" w:rsidRDefault="007E5F68" w:rsidP="007E5F68">
      <w:pPr>
        <w:spacing w:after="0" w:line="240" w:lineRule="auto"/>
        <w:rPr>
          <w:lang w:val="en-GB"/>
        </w:rPr>
      </w:pPr>
      <w:r w:rsidRPr="007E5F68">
        <w:rPr>
          <w:lang w:val="en-GB"/>
        </w:rPr>
        <w:t>Bl.3, Sofia 1113, Bulgaria</w:t>
      </w:r>
    </w:p>
    <w:p w:rsidR="007E5F68" w:rsidRPr="007E5F68" w:rsidRDefault="007E5F68" w:rsidP="007E5F68">
      <w:pPr>
        <w:pStyle w:val="Title"/>
        <w:rPr>
          <w:b w:val="0"/>
          <w:szCs w:val="22"/>
          <w:lang w:val="en-GB"/>
        </w:rPr>
      </w:pPr>
      <w:r w:rsidRPr="007E5F68">
        <w:rPr>
          <w:b w:val="0"/>
          <w:szCs w:val="22"/>
          <w:vertAlign w:val="superscript"/>
        </w:rPr>
        <w:t>3</w:t>
      </w:r>
      <w:r w:rsidRPr="007E5F68">
        <w:rPr>
          <w:b w:val="0"/>
          <w:szCs w:val="22"/>
        </w:rPr>
        <w:t>Institute for Parallel Processing, Bulgarian Academy of Sciences, Akad. G</w:t>
      </w:r>
      <w:r w:rsidRPr="007E5F68">
        <w:rPr>
          <w:b w:val="0"/>
          <w:szCs w:val="22"/>
          <w:lang w:val="en-GB"/>
        </w:rPr>
        <w:t xml:space="preserve">. Bonchev str., </w:t>
      </w:r>
    </w:p>
    <w:p w:rsidR="007E5F68" w:rsidRPr="007E5F68" w:rsidRDefault="007E5F68" w:rsidP="007E5F68">
      <w:pPr>
        <w:pStyle w:val="Title"/>
        <w:rPr>
          <w:b w:val="0"/>
          <w:szCs w:val="22"/>
          <w:lang w:val="en-GB"/>
        </w:rPr>
      </w:pPr>
      <w:r w:rsidRPr="007E5F68">
        <w:rPr>
          <w:b w:val="0"/>
          <w:szCs w:val="22"/>
          <w:lang w:val="en-GB"/>
        </w:rPr>
        <w:t>bl. 25A, Sofia 1113, Bulgaria</w:t>
      </w:r>
    </w:p>
    <w:p w:rsidR="007E5F68" w:rsidRPr="007E5F68" w:rsidRDefault="000D102A" w:rsidP="007E5F68">
      <w:pPr>
        <w:pStyle w:val="Title"/>
        <w:rPr>
          <w:b w:val="0"/>
          <w:szCs w:val="22"/>
          <w:lang w:val="en-GB"/>
        </w:rPr>
      </w:pPr>
      <w:r>
        <w:rPr>
          <w:bCs w:val="0"/>
          <w:noProof/>
          <w:szCs w:val="22"/>
          <w:lang w:eastAsia="bg-BG"/>
        </w:rPr>
        <w:drawing>
          <wp:inline distT="0" distB="0" distL="0" distR="0">
            <wp:extent cx="838200" cy="95250"/>
            <wp:effectExtent l="1905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8"/>
                    <a:srcRect/>
                    <a:stretch>
                      <a:fillRect/>
                    </a:stretch>
                  </pic:blipFill>
                  <pic:spPr bwMode="auto">
                    <a:xfrm>
                      <a:off x="0" y="0"/>
                      <a:ext cx="838200" cy="95250"/>
                    </a:xfrm>
                    <a:prstGeom prst="rect">
                      <a:avLst/>
                    </a:prstGeom>
                    <a:noFill/>
                    <a:ln w="9525">
                      <a:noFill/>
                      <a:miter lim="800000"/>
                      <a:headEnd/>
                      <a:tailEnd/>
                    </a:ln>
                  </pic:spPr>
                </pic:pic>
              </a:graphicData>
            </a:graphic>
          </wp:inline>
        </w:drawing>
      </w:r>
    </w:p>
    <w:p w:rsidR="007E5F68" w:rsidRPr="007E5F68" w:rsidRDefault="007E5F68" w:rsidP="007E5F68">
      <w:pPr>
        <w:spacing w:after="0" w:line="240" w:lineRule="auto"/>
        <w:rPr>
          <w:lang w:val="en-GB"/>
        </w:rPr>
      </w:pPr>
    </w:p>
    <w:p w:rsidR="007E5F68" w:rsidRPr="007E5F68" w:rsidRDefault="007E5F68" w:rsidP="007E5F68">
      <w:pPr>
        <w:spacing w:after="0" w:line="240" w:lineRule="auto"/>
        <w:rPr>
          <w:b/>
          <w:lang w:val="en-GB"/>
        </w:rPr>
      </w:pPr>
      <w:r w:rsidRPr="007E5F68">
        <w:rPr>
          <w:b/>
          <w:lang w:val="en-GB"/>
        </w:rPr>
        <w:t>Abstract</w:t>
      </w:r>
    </w:p>
    <w:p w:rsidR="007E5F68" w:rsidRPr="007E5F68" w:rsidRDefault="007E5F68" w:rsidP="007E5F68">
      <w:pPr>
        <w:spacing w:after="0" w:line="240" w:lineRule="auto"/>
        <w:jc w:val="both"/>
        <w:rPr>
          <w:i/>
          <w:lang w:val="en-GB"/>
        </w:rPr>
      </w:pPr>
      <w:r w:rsidRPr="007E5F68">
        <w:rPr>
          <w:i/>
          <w:lang w:val="en-GB"/>
        </w:rPr>
        <w:t xml:space="preserve">Comprehensive atmospheric composition studies require multi-scale numerical experiments to be carried out, which to clarify to some extent different scale processes interaction, but also to further specify requirements for input data (emissions, boundary conditions, large scale forcing). Model interfaces from synoptic trough meso- to local scale have to be tailored. Shortly speaking, extensive sensitivity studies have to be carried out, tailoring the model set-up and parameters – a possible forerunner of single model ensemble forecasts. </w:t>
      </w:r>
    </w:p>
    <w:p w:rsidR="007E5F68" w:rsidRDefault="007E5F68" w:rsidP="007E5F68">
      <w:pPr>
        <w:autoSpaceDE w:val="0"/>
        <w:autoSpaceDN w:val="0"/>
        <w:adjustRightInd w:val="0"/>
        <w:spacing w:after="0" w:line="240" w:lineRule="auto"/>
        <w:jc w:val="both"/>
        <w:rPr>
          <w:i/>
        </w:rPr>
      </w:pPr>
      <w:r>
        <w:rPr>
          <w:i/>
        </w:rPr>
        <w:t>.........................</w:t>
      </w:r>
    </w:p>
    <w:p w:rsidR="007E5F68" w:rsidRPr="007E5F68" w:rsidRDefault="007E5F68" w:rsidP="007E5F68">
      <w:pPr>
        <w:autoSpaceDE w:val="0"/>
        <w:autoSpaceDN w:val="0"/>
        <w:adjustRightInd w:val="0"/>
        <w:spacing w:after="0" w:line="240" w:lineRule="auto"/>
        <w:jc w:val="both"/>
        <w:rPr>
          <w:i/>
          <w:lang w:val="en-GB"/>
        </w:rPr>
      </w:pPr>
      <w:r w:rsidRPr="007E5F68">
        <w:rPr>
          <w:i/>
          <w:lang w:val="en-GB"/>
        </w:rPr>
        <w:t>Some examples of environmental problems which are recently developed / tested / treated as grid applications are given in the present paper.</w:t>
      </w:r>
    </w:p>
    <w:p w:rsidR="007E5F68" w:rsidRPr="007E5F68" w:rsidRDefault="007E5F68" w:rsidP="007E5F68">
      <w:pPr>
        <w:spacing w:after="0" w:line="240" w:lineRule="auto"/>
        <w:jc w:val="both"/>
        <w:rPr>
          <w:i/>
          <w:lang w:val="en-GB"/>
        </w:rPr>
      </w:pPr>
      <w:r w:rsidRPr="007E5F68">
        <w:rPr>
          <w:b/>
          <w:lang w:val="en-GB"/>
        </w:rPr>
        <w:t>Key words:</w:t>
      </w:r>
      <w:r w:rsidRPr="007E5F68">
        <w:rPr>
          <w:i/>
          <w:lang w:val="en-GB"/>
        </w:rPr>
        <w:t xml:space="preserve"> air pollution modelling, US EPA models-3 system, multi-scale modelling, loads, country-to-country pollution exchange, emergency response, grid computing</w:t>
      </w:r>
    </w:p>
    <w:p w:rsidR="007E5F68" w:rsidRPr="007E5F68" w:rsidRDefault="007E5F68" w:rsidP="007E5F68">
      <w:pPr>
        <w:spacing w:after="0" w:line="240" w:lineRule="auto"/>
        <w:jc w:val="both"/>
        <w:rPr>
          <w:lang w:val="en-GB"/>
        </w:rPr>
      </w:pPr>
    </w:p>
    <w:p w:rsidR="007E5F68" w:rsidRPr="007E5F68" w:rsidRDefault="007E5F68" w:rsidP="007E5F68">
      <w:pPr>
        <w:spacing w:after="0" w:line="240" w:lineRule="auto"/>
        <w:jc w:val="both"/>
        <w:rPr>
          <w:b/>
          <w:lang w:val="en-GB"/>
        </w:rPr>
      </w:pPr>
      <w:r w:rsidRPr="007E5F68">
        <w:rPr>
          <w:b/>
          <w:lang w:val="en-GB"/>
        </w:rPr>
        <w:t>1. INTRODUCTION</w:t>
      </w:r>
    </w:p>
    <w:p w:rsidR="007E5F68" w:rsidRPr="007E5F68" w:rsidRDefault="007E5F68" w:rsidP="007E5F68">
      <w:pPr>
        <w:spacing w:after="0" w:line="240" w:lineRule="auto"/>
        <w:jc w:val="both"/>
        <w:rPr>
          <w:lang w:val="en-GB"/>
        </w:rPr>
      </w:pPr>
      <w:r w:rsidRPr="007E5F68">
        <w:rPr>
          <w:lang w:val="en-GB"/>
        </w:rPr>
        <w:t>AQ is a key element for the well-being and quality of life of European citizens. According to the World Health Organization (WHO), air pollution severely affects the health of European citizens (WHO, 2004) (between 2.5 and 11% of the total number of annual deaths are due to air pollution (WHO, 2000)). There is considerable concern about impaired and detrimental air quality cond</w:t>
      </w:r>
      <w:r w:rsidRPr="007E5F68">
        <w:rPr>
          <w:lang w:val="en-GB"/>
        </w:rPr>
        <w:t>i</w:t>
      </w:r>
      <w:r w:rsidRPr="007E5F68">
        <w:rPr>
          <w:lang w:val="en-GB"/>
        </w:rPr>
        <w:t>tions over many areas in Europe, especially in urbanized areas, in spite of about 30 years of legislation and emission r</w:t>
      </w:r>
      <w:r w:rsidRPr="007E5F68">
        <w:rPr>
          <w:lang w:val="en-GB"/>
        </w:rPr>
        <w:t>e</w:t>
      </w:r>
      <w:r w:rsidRPr="007E5F68">
        <w:rPr>
          <w:lang w:val="en-GB"/>
        </w:rPr>
        <w:t>duction. Current legislation (e.g. ozone daughter directive 2002/3/EC) requires informing the public on Air Quality (AQ), assessing air pollutant concentrations throughout the whole territory of Member States and indicating exceedances of limit and target values, forecasting potential exceedances and assessing possible emergency measures to abate e</w:t>
      </w:r>
      <w:r w:rsidRPr="007E5F68">
        <w:rPr>
          <w:lang w:val="en-GB"/>
        </w:rPr>
        <w:t>x</w:t>
      </w:r>
      <w:r w:rsidRPr="007E5F68">
        <w:rPr>
          <w:lang w:val="en-GB"/>
        </w:rPr>
        <w:t xml:space="preserve">ceedances using modelling tools. </w:t>
      </w:r>
    </w:p>
    <w:p w:rsidR="001314F7" w:rsidRDefault="001314F7" w:rsidP="007E5F68">
      <w:pPr>
        <w:spacing w:after="0" w:line="240" w:lineRule="auto"/>
        <w:jc w:val="both"/>
      </w:pPr>
      <w:r>
        <w:t>..........................</w:t>
      </w:r>
    </w:p>
    <w:p w:rsidR="007E5F68" w:rsidRPr="007E5F68" w:rsidRDefault="007E5F68" w:rsidP="007E5F68">
      <w:pPr>
        <w:spacing w:after="0" w:line="240" w:lineRule="auto"/>
        <w:jc w:val="both"/>
        <w:rPr>
          <w:lang w:val="en-GB"/>
        </w:rPr>
      </w:pPr>
      <w:r w:rsidRPr="007E5F68">
        <w:rPr>
          <w:lang w:val="en-GB"/>
        </w:rPr>
        <w:lastRenderedPageBreak/>
        <w:t xml:space="preserve">The quoted above demonstrates very well the very high priority given by the European society and EU legislation and authorities to human health and environmental (in particular AQ) issues. Bulgarian thematic priorities do not differ from the EU ones, so the development of tools and platforms for multi-scale atmospheric composition modelling for the Balkan region certainly corresponds to both Bulgarian and European priorities. </w:t>
      </w:r>
    </w:p>
    <w:p w:rsidR="007E5F68" w:rsidRPr="007E5F68" w:rsidRDefault="007E5F68" w:rsidP="007E5F68">
      <w:pPr>
        <w:spacing w:after="0" w:line="240" w:lineRule="auto"/>
        <w:jc w:val="both"/>
        <w:rPr>
          <w:lang w:val="en-GB"/>
        </w:rPr>
      </w:pPr>
    </w:p>
    <w:p w:rsidR="007E5F68" w:rsidRPr="007E5F68" w:rsidRDefault="007E5F68" w:rsidP="00512BE4">
      <w:pPr>
        <w:spacing w:after="0" w:line="240" w:lineRule="auto"/>
        <w:jc w:val="left"/>
        <w:rPr>
          <w:b/>
          <w:lang w:val="en-GB"/>
        </w:rPr>
      </w:pPr>
      <w:r w:rsidRPr="007E5F68">
        <w:rPr>
          <w:b/>
          <w:lang w:val="en-GB"/>
        </w:rPr>
        <w:t>2. MODELING TOOLS</w:t>
      </w:r>
    </w:p>
    <w:p w:rsidR="007E5F68" w:rsidRPr="007E5F68" w:rsidRDefault="007E5F68" w:rsidP="007E5F68">
      <w:pPr>
        <w:spacing w:after="0" w:line="240" w:lineRule="auto"/>
        <w:jc w:val="both"/>
        <w:rPr>
          <w:lang w:val="en-GB"/>
        </w:rPr>
      </w:pPr>
      <w:r w:rsidRPr="007E5F68">
        <w:rPr>
          <w:lang w:val="en-GB"/>
        </w:rPr>
        <w:t xml:space="preserve">All the applications are based on the US EPA Model-3 system, which was chosen as a modelling tool because it appears to be one of the most widely used models with proved simulation abilities. In the same time, this is a modelling tool of large flexibility with a range of options and possibilities to be used for different applications/purposes. Many research groups in Europe already use the Model-3 system or some of its elements and this number is going to increase rapidly. </w:t>
      </w:r>
    </w:p>
    <w:p w:rsidR="007E5F68" w:rsidRPr="007E5F68" w:rsidRDefault="007E5F68" w:rsidP="007E5F68">
      <w:pPr>
        <w:spacing w:after="0" w:line="240" w:lineRule="auto"/>
        <w:jc w:val="both"/>
        <w:rPr>
          <w:lang w:val="en-GB"/>
        </w:rPr>
      </w:pPr>
      <w:r w:rsidRPr="007E5F68">
        <w:rPr>
          <w:lang w:val="en-GB"/>
        </w:rPr>
        <w:t xml:space="preserve">The system consists of three components: </w:t>
      </w:r>
    </w:p>
    <w:p w:rsidR="007E5F68" w:rsidRPr="007E5F68" w:rsidRDefault="007E5F68" w:rsidP="007E5F68">
      <w:pPr>
        <w:widowControl w:val="0"/>
        <w:numPr>
          <w:ilvl w:val="0"/>
          <w:numId w:val="2"/>
        </w:numPr>
        <w:tabs>
          <w:tab w:val="left" w:pos="720"/>
        </w:tabs>
        <w:adjustRightInd w:val="0"/>
        <w:spacing w:after="0" w:line="240" w:lineRule="auto"/>
        <w:jc w:val="both"/>
        <w:textAlignment w:val="baseline"/>
        <w:rPr>
          <w:lang w:val="en-GB"/>
        </w:rPr>
      </w:pPr>
      <w:r w:rsidRPr="007E5F68">
        <w:rPr>
          <w:lang w:val="en-GB"/>
        </w:rPr>
        <w:t xml:space="preserve">MM5 - the 5th generation PSU/NCAR Meso-meteorological Model MM5 (Dudhia, 1993, Grell et al., 1994) used as meteorological pre-processor; </w:t>
      </w:r>
    </w:p>
    <w:p w:rsidR="007E5F68" w:rsidRPr="007E5F68" w:rsidRDefault="007E5F68" w:rsidP="007E5F68">
      <w:pPr>
        <w:widowControl w:val="0"/>
        <w:numPr>
          <w:ilvl w:val="0"/>
          <w:numId w:val="2"/>
        </w:numPr>
        <w:tabs>
          <w:tab w:val="left" w:pos="720"/>
        </w:tabs>
        <w:adjustRightInd w:val="0"/>
        <w:spacing w:after="0" w:line="240" w:lineRule="auto"/>
        <w:jc w:val="both"/>
        <w:textAlignment w:val="baseline"/>
        <w:rPr>
          <w:lang w:val="en-GB"/>
        </w:rPr>
      </w:pPr>
      <w:r w:rsidRPr="007E5F68">
        <w:rPr>
          <w:lang w:val="en-GB"/>
        </w:rPr>
        <w:t>CMAQ - the Community Multiscale Air Quality System (Byun et al., 1998, Byun and Ching, 1999), being the Chemical Transport Model (CTM) of the system, and</w:t>
      </w:r>
    </w:p>
    <w:p w:rsidR="007E5F68" w:rsidRPr="007E5F68" w:rsidRDefault="007E5F68" w:rsidP="007E5F68">
      <w:pPr>
        <w:widowControl w:val="0"/>
        <w:numPr>
          <w:ilvl w:val="0"/>
          <w:numId w:val="2"/>
        </w:numPr>
        <w:tabs>
          <w:tab w:val="left" w:pos="720"/>
        </w:tabs>
        <w:adjustRightInd w:val="0"/>
        <w:spacing w:after="0" w:line="240" w:lineRule="auto"/>
        <w:jc w:val="both"/>
        <w:textAlignment w:val="baseline"/>
        <w:rPr>
          <w:lang w:val="en-GB"/>
        </w:rPr>
      </w:pPr>
      <w:r w:rsidRPr="007E5F68">
        <w:rPr>
          <w:lang w:val="en-GB"/>
        </w:rPr>
        <w:t>SMOKE - the Sparse Matrix Operator Kernel Emissions Modelling System (CEP, 2003) – the emission pre-processor of Models-3 system.</w:t>
      </w:r>
    </w:p>
    <w:p w:rsidR="007E5F68" w:rsidRPr="007E5F68" w:rsidRDefault="007E5F68" w:rsidP="007E5F68">
      <w:pPr>
        <w:spacing w:after="0" w:line="240" w:lineRule="auto"/>
        <w:jc w:val="both"/>
        <w:rPr>
          <w:lang w:val="en-GB"/>
        </w:rPr>
      </w:pPr>
      <w:r w:rsidRPr="007E5F68">
        <w:rPr>
          <w:lang w:val="en-GB"/>
        </w:rPr>
        <w:t xml:space="preserve">Each of these models consists of number of programs that can be run in different schedules depending of the task to be solved. The output of one module is input to others. Taking into account that they had to be run for multiple days it occurred that very complicated LINUX scripts were necessary to be created. The obtained results has been visualized by several graphical packages – GRAPH, GRADS, PAVE, SURFER – supplemented by meta-languages for automation of drawing. All this presumes high experience in Linux and other programming languages. </w:t>
      </w:r>
    </w:p>
    <w:p w:rsidR="007E5F68" w:rsidRPr="007E5F68" w:rsidRDefault="007E5F68" w:rsidP="007E5F68">
      <w:pPr>
        <w:spacing w:after="0" w:line="240" w:lineRule="auto"/>
        <w:jc w:val="both"/>
        <w:rPr>
          <w:lang w:val="en-GB"/>
        </w:rPr>
      </w:pPr>
    </w:p>
    <w:p w:rsidR="007E5F68" w:rsidRPr="007E5F68" w:rsidRDefault="007E5F68" w:rsidP="007E5F68">
      <w:pPr>
        <w:spacing w:after="0" w:line="240" w:lineRule="auto"/>
        <w:jc w:val="both"/>
        <w:rPr>
          <w:b/>
          <w:lang w:val="en-GB"/>
        </w:rPr>
      </w:pPr>
      <w:r w:rsidRPr="007E5F68">
        <w:rPr>
          <w:b/>
          <w:lang w:val="en-GB"/>
        </w:rPr>
        <w:t>3. ABOUT THE GRID PHYLOSOPHY AND TECHNOLOGY</w:t>
      </w:r>
    </w:p>
    <w:p w:rsidR="007E5F68" w:rsidRPr="007E5F68" w:rsidRDefault="007E5F68" w:rsidP="007E5F68">
      <w:pPr>
        <w:spacing w:after="0" w:line="240" w:lineRule="auto"/>
        <w:jc w:val="both"/>
        <w:rPr>
          <w:lang w:val="en-GB"/>
        </w:rPr>
      </w:pPr>
      <w:r w:rsidRPr="007E5F68">
        <w:rPr>
          <w:lang w:val="en-GB"/>
        </w:rPr>
        <w:t>The Computational Grid, or shortly, the Grid, is a computing environment which enables the unification of widely geographically distributed computing resources into one big (super)-computer (Atanassov et all., 2006, Foster and Kesselmann, 1998). The individual computing resources commonly consist mostly of computer clusters and several individual computers, which are interconnected by a high-speed very wide area network. The Grid is a computer system which is, at this moment, primarily intended for supporting e-Science, however the technology itself is very adaptable to the whole area of present and future computer usage. As the Grid was perceived as a viable solution for supporting e-Science, the modern Grid development was started and is pushed by the scientific community. The major goal of the Grid is to enable the clustering and unification of distributed computing and data processing resources, as to collect as much computing power usable to applications necessitating high computer strength as possible. Some of scientific application examples necessitating the Grid are applications from the fields of particle physics, climate analysis, biomedical research, meteorology etc</w:t>
      </w:r>
    </w:p>
    <w:p w:rsidR="001314F7" w:rsidRDefault="001314F7" w:rsidP="007E5F68">
      <w:pPr>
        <w:spacing w:after="0" w:line="240" w:lineRule="auto"/>
        <w:jc w:val="both"/>
        <w:rPr>
          <w:b/>
        </w:rPr>
      </w:pPr>
    </w:p>
    <w:p w:rsidR="007E5F68" w:rsidRPr="007E5F68" w:rsidRDefault="007E5F68" w:rsidP="007E5F68">
      <w:pPr>
        <w:spacing w:after="0" w:line="240" w:lineRule="auto"/>
        <w:jc w:val="both"/>
        <w:rPr>
          <w:b/>
          <w:lang w:val="en-GB"/>
        </w:rPr>
      </w:pPr>
      <w:r w:rsidRPr="007E5F68">
        <w:rPr>
          <w:b/>
          <w:lang w:val="en-GB"/>
        </w:rPr>
        <w:lastRenderedPageBreak/>
        <w:t>4. SOME EXAMPLES OF AQ GRID APPLICATIONS</w:t>
      </w:r>
    </w:p>
    <w:p w:rsidR="007E5F68" w:rsidRPr="007E5F68" w:rsidRDefault="007E5F68" w:rsidP="007E5F68">
      <w:pPr>
        <w:spacing w:after="0" w:line="240" w:lineRule="auto"/>
        <w:jc w:val="both"/>
        <w:rPr>
          <w:i/>
          <w:lang w:val="en-GB"/>
        </w:rPr>
      </w:pPr>
      <w:r w:rsidRPr="007E5F68">
        <w:rPr>
          <w:i/>
          <w:lang w:val="en-GB"/>
        </w:rPr>
        <w:t>4.1. Multi-scale atmospheric composition modelling</w:t>
      </w:r>
    </w:p>
    <w:p w:rsidR="007E5F68" w:rsidRPr="007E5F68" w:rsidRDefault="007E5F68" w:rsidP="006E525C">
      <w:pPr>
        <w:pStyle w:val="Features"/>
        <w:spacing w:before="120" w:after="0"/>
        <w:jc w:val="left"/>
        <w:rPr>
          <w:rFonts w:cs="Times New Roman"/>
          <w:b w:val="0"/>
          <w:sz w:val="22"/>
          <w:szCs w:val="22"/>
          <w:lang w:val="en-GB"/>
        </w:rPr>
      </w:pPr>
      <w:bookmarkStart w:id="0" w:name="_Toc121909567"/>
      <w:bookmarkStart w:id="1" w:name="_Toc124853079"/>
      <w:r w:rsidRPr="007E5F68">
        <w:rPr>
          <w:rFonts w:cs="Times New Roman"/>
          <w:b w:val="0"/>
          <w:sz w:val="22"/>
          <w:szCs w:val="22"/>
          <w:lang w:val="en-GB"/>
        </w:rPr>
        <w:t>4.1.1 Application description</w:t>
      </w:r>
      <w:bookmarkEnd w:id="0"/>
      <w:bookmarkEnd w:id="1"/>
      <w:r w:rsidRPr="007E5F68">
        <w:rPr>
          <w:rFonts w:cs="Times New Roman"/>
          <w:b w:val="0"/>
          <w:sz w:val="22"/>
          <w:szCs w:val="22"/>
          <w:lang w:val="en-GB"/>
        </w:rPr>
        <w:t xml:space="preserve"> and main features</w:t>
      </w:r>
    </w:p>
    <w:p w:rsidR="007E5F68" w:rsidRPr="007E5F68" w:rsidRDefault="007E5F68" w:rsidP="001314F7">
      <w:pPr>
        <w:spacing w:after="0" w:line="240" w:lineRule="auto"/>
        <w:jc w:val="both"/>
        <w:rPr>
          <w:lang w:val="en-GB"/>
        </w:rPr>
      </w:pPr>
      <w:r w:rsidRPr="007E5F68">
        <w:rPr>
          <w:lang w:val="en-GB"/>
        </w:rPr>
        <w:t xml:space="preserve">Changes in atmospheric composition directly affect many aspects of life, determining climate, air quality and atmospheric inputs to ecosystems. In turn, these changes affect fundamental necessities for human existence: human health, food production, ecosystem health and water. Atmospheric composition change research is therefore fundamental for the future orientation of national, regional and Europe’s Sustainable Development strategy. </w:t>
      </w:r>
    </w:p>
    <w:p w:rsidR="00814C99" w:rsidRPr="007E5F68" w:rsidRDefault="007E5F68" w:rsidP="001314F7">
      <w:pPr>
        <w:spacing w:after="0" w:line="240" w:lineRule="auto"/>
        <w:jc w:val="both"/>
      </w:pPr>
      <w:r>
        <w:t>........................</w:t>
      </w:r>
    </w:p>
    <w:p w:rsidR="00BD1C3E" w:rsidRPr="00F76C34" w:rsidRDefault="000D102A" w:rsidP="00BD1C3E">
      <w:pPr>
        <w:rPr>
          <w:b/>
          <w:lang w:val="en-GB"/>
        </w:rPr>
      </w:pPr>
      <w:r>
        <w:rPr>
          <w:noProof/>
          <w:lang w:eastAsia="bg-BG"/>
        </w:rPr>
        <w:drawing>
          <wp:inline distT="0" distB="0" distL="0" distR="0">
            <wp:extent cx="5400675" cy="474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00675" cy="4743450"/>
                    </a:xfrm>
                    <a:prstGeom prst="rect">
                      <a:avLst/>
                    </a:prstGeom>
                    <a:noFill/>
                    <a:ln w="9525">
                      <a:noFill/>
                      <a:miter lim="800000"/>
                      <a:headEnd/>
                      <a:tailEnd/>
                    </a:ln>
                  </pic:spPr>
                </pic:pic>
              </a:graphicData>
            </a:graphic>
          </wp:inline>
        </w:drawing>
      </w:r>
    </w:p>
    <w:p w:rsidR="00BD1C3E" w:rsidRDefault="00BD1C3E" w:rsidP="00BD1C3E">
      <w:pPr>
        <w:rPr>
          <w:b/>
        </w:rPr>
      </w:pPr>
    </w:p>
    <w:p w:rsidR="00BD1C3E" w:rsidRPr="00F76C34" w:rsidRDefault="00BD1C3E" w:rsidP="00BD1C3E">
      <w:pPr>
        <w:rPr>
          <w:lang w:val="en-GB"/>
        </w:rPr>
      </w:pPr>
      <w:r w:rsidRPr="00F76C34">
        <w:rPr>
          <w:b/>
          <w:lang w:val="en-GB"/>
        </w:rPr>
        <w:t xml:space="preserve">Fig. 1. </w:t>
      </w:r>
      <w:r w:rsidRPr="00F76C34">
        <w:rPr>
          <w:lang w:val="en-GB"/>
        </w:rPr>
        <w:t>AOT40C values normalized by the threshold of 3000 ppb.hours. for May-July 2000.</w:t>
      </w:r>
    </w:p>
    <w:p w:rsidR="00BD1C3E" w:rsidRDefault="00BD1C3E" w:rsidP="00BD1C3E">
      <w:pPr>
        <w:jc w:val="both"/>
      </w:pPr>
    </w:p>
    <w:p w:rsidR="006E525C" w:rsidRDefault="00BD1C3E" w:rsidP="006E525C">
      <w:pPr>
        <w:jc w:val="both"/>
        <w:rPr>
          <w:lang w:val="en-GB"/>
        </w:rPr>
      </w:pPr>
      <w:r w:rsidRPr="00E910CC">
        <w:rPr>
          <w:lang w:val="en-GB"/>
        </w:rPr>
        <w:lastRenderedPageBreak/>
        <w:t xml:space="preserve">Almost the same behaviour of the reciprocal pollution between the three countries can be observed </w:t>
      </w:r>
      <w:r>
        <w:rPr>
          <w:lang w:val="en-GB"/>
        </w:rPr>
        <w:t>for</w:t>
      </w:r>
      <w:r w:rsidRPr="00E910CC">
        <w:rPr>
          <w:lang w:val="en-GB"/>
        </w:rPr>
        <w:t xml:space="preserve"> the </w:t>
      </w:r>
      <w:r>
        <w:rPr>
          <w:lang w:val="en-GB"/>
        </w:rPr>
        <w:t>other</w:t>
      </w:r>
      <w:r w:rsidRPr="00E910CC">
        <w:rPr>
          <w:lang w:val="en-GB"/>
        </w:rPr>
        <w:t xml:space="preserve"> ozone index</w:t>
      </w:r>
      <w:r>
        <w:rPr>
          <w:lang w:val="en-GB"/>
        </w:rPr>
        <w:t>es</w:t>
      </w:r>
      <w:r w:rsidRPr="00E910CC">
        <w:rPr>
          <w:lang w:val="en-GB"/>
        </w:rPr>
        <w:t xml:space="preserve"> – NOD</w:t>
      </w:r>
      <w:r>
        <w:rPr>
          <w:lang w:val="en-GB"/>
        </w:rPr>
        <w:t xml:space="preserve"> and</w:t>
      </w:r>
      <w:r w:rsidRPr="00E910CC">
        <w:rPr>
          <w:lang w:val="en-GB"/>
        </w:rPr>
        <w:t xml:space="preserve"> ADM.</w:t>
      </w:r>
    </w:p>
    <w:p w:rsidR="00BD1C3E" w:rsidRPr="006E525C" w:rsidRDefault="00EC7A51" w:rsidP="006E525C">
      <w:pPr>
        <w:jc w:val="both"/>
        <w:rPr>
          <w:lang w:val="en-GB"/>
        </w:rPr>
      </w:pPr>
      <w:r>
        <w:t>...................</w:t>
      </w:r>
    </w:p>
    <w:p w:rsidR="00EC7A51" w:rsidRDefault="00EC7A51" w:rsidP="00EC7A51">
      <w:pPr>
        <w:spacing w:after="0" w:line="240" w:lineRule="auto"/>
        <w:jc w:val="both"/>
      </w:pPr>
      <w:r w:rsidRPr="00E910CC">
        <w:rPr>
          <w:lang w:val="en-GB"/>
        </w:rPr>
        <w:t xml:space="preserve">The country to country pollution exchange can be followed in more details again from the tables. They present the emitter-receiver relations for 4 sub-domains in which the domain of integration is divided: Bulgaria (BG), Romania (RO), Greece (GR) and the other countries in the region (other). The impact of each country’s sulphur and nitrogen emissions to the oxidized sulphur, oxidized and reduced nitrogen wet, dry and total deposition in these countries themselves and in the other countries is clearly demonstrated by Tables </w:t>
      </w:r>
      <w:r>
        <w:rPr>
          <w:lang w:val="en-GB"/>
        </w:rPr>
        <w:t>1</w:t>
      </w:r>
      <w:r w:rsidRPr="00E910CC">
        <w:rPr>
          <w:lang w:val="en-GB"/>
        </w:rPr>
        <w:t>-</w:t>
      </w:r>
      <w:r>
        <w:rPr>
          <w:lang w:val="en-GB"/>
        </w:rPr>
        <w:t>7</w:t>
      </w:r>
      <w:r w:rsidRPr="00E910CC">
        <w:rPr>
          <w:lang w:val="en-GB"/>
        </w:rPr>
        <w:t>. In the Tables, the shaded elements show the deposition quantity for each country due to its own sources.</w:t>
      </w:r>
    </w:p>
    <w:p w:rsidR="00EC7A51" w:rsidRPr="00EC7A51" w:rsidRDefault="00EC7A51" w:rsidP="00EC7A51">
      <w:pPr>
        <w:spacing w:after="0" w:line="240" w:lineRule="auto"/>
        <w:jc w:val="both"/>
      </w:pPr>
    </w:p>
    <w:p w:rsidR="00EC7A51" w:rsidRPr="00E910CC" w:rsidRDefault="00EC7A51" w:rsidP="00EE1989">
      <w:pPr>
        <w:spacing w:after="0" w:line="240" w:lineRule="auto"/>
        <w:rPr>
          <w:lang w:val="en-GB"/>
        </w:rPr>
      </w:pPr>
      <w:r w:rsidRPr="00E910CC">
        <w:rPr>
          <w:rStyle w:val="capLabel"/>
          <w:b/>
          <w:i w:val="0"/>
          <w:lang w:val="en-GB"/>
        </w:rPr>
        <w:t xml:space="preserve">Table </w:t>
      </w:r>
      <w:r>
        <w:rPr>
          <w:rStyle w:val="capLabel"/>
          <w:b/>
          <w:i w:val="0"/>
          <w:lang w:val="en-GB"/>
        </w:rPr>
        <w:t>1</w:t>
      </w:r>
      <w:r w:rsidRPr="00E910CC">
        <w:rPr>
          <w:rStyle w:val="capLabel"/>
          <w:b/>
          <w:i w:val="0"/>
          <w:lang w:val="en-GB"/>
        </w:rPr>
        <w:t>.</w:t>
      </w:r>
      <w:r w:rsidRPr="00E910CC">
        <w:rPr>
          <w:i/>
          <w:lang w:val="en-GB"/>
        </w:rPr>
        <w:t xml:space="preserve"> </w:t>
      </w:r>
      <w:r w:rsidRPr="00E910CC">
        <w:rPr>
          <w:lang w:val="en-GB"/>
        </w:rPr>
        <w:t xml:space="preserve">Blame matrix for oxidized sulphur </w:t>
      </w:r>
      <w:r w:rsidRPr="00E910CC">
        <w:rPr>
          <w:b/>
          <w:lang w:val="en-GB"/>
        </w:rPr>
        <w:t>dry deposition</w:t>
      </w:r>
      <w:r w:rsidRPr="00E910CC">
        <w:rPr>
          <w:lang w:val="en-GB"/>
        </w:rPr>
        <w:t>, May-July 2005, 1000 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1418"/>
        <w:gridCol w:w="1418"/>
        <w:gridCol w:w="1418"/>
        <w:gridCol w:w="1418"/>
        <w:gridCol w:w="1418"/>
      </w:tblGrid>
      <w:tr w:rsidR="00EC7A51" w:rsidRPr="003F4C7A" w:rsidTr="00786DC1">
        <w:trPr>
          <w:jc w:val="center"/>
        </w:trPr>
        <w:tc>
          <w:tcPr>
            <w:tcW w:w="1535" w:type="dxa"/>
          </w:tcPr>
          <w:p w:rsidR="00EC7A51" w:rsidRPr="00EE1989" w:rsidRDefault="00EC7A51" w:rsidP="00EE1989">
            <w:pPr>
              <w:pStyle w:val="Table"/>
              <w:jc w:val="center"/>
              <w:rPr>
                <w:b/>
                <w:sz w:val="20"/>
                <w:szCs w:val="20"/>
                <w:lang w:val="en-GB"/>
              </w:rPr>
            </w:pPr>
            <w:r w:rsidRPr="00EE1989">
              <w:rPr>
                <w:b/>
                <w:sz w:val="20"/>
                <w:szCs w:val="20"/>
                <w:lang w:val="en-GB"/>
              </w:rPr>
              <w:t>Emitter</w:t>
            </w:r>
          </w:p>
          <w:p w:rsidR="00EC7A51" w:rsidRPr="00EE1989" w:rsidRDefault="00EC7A51" w:rsidP="00EE1989">
            <w:pPr>
              <w:pStyle w:val="Table"/>
              <w:jc w:val="center"/>
              <w:rPr>
                <w:b/>
                <w:sz w:val="20"/>
                <w:szCs w:val="20"/>
                <w:lang w:val="en-GB"/>
              </w:rPr>
            </w:pPr>
            <w:r w:rsidRPr="00EE1989">
              <w:rPr>
                <w:b/>
                <w:sz w:val="20"/>
                <w:szCs w:val="20"/>
                <w:lang w:val="en-GB"/>
              </w:rPr>
              <w:t>Receiver</w:t>
            </w:r>
          </w:p>
        </w:tc>
        <w:tc>
          <w:tcPr>
            <w:tcW w:w="1418" w:type="dxa"/>
            <w:vAlign w:val="center"/>
          </w:tcPr>
          <w:p w:rsidR="00EC7A51" w:rsidRPr="00EE1989" w:rsidRDefault="00EC7A51" w:rsidP="00EE1989">
            <w:pPr>
              <w:pStyle w:val="Table"/>
              <w:ind w:right="37"/>
              <w:jc w:val="center"/>
              <w:rPr>
                <w:b/>
                <w:sz w:val="20"/>
                <w:szCs w:val="20"/>
                <w:lang w:val="en-GB"/>
              </w:rPr>
            </w:pPr>
            <w:r w:rsidRPr="00EE1989">
              <w:rPr>
                <w:b/>
                <w:sz w:val="20"/>
                <w:szCs w:val="20"/>
                <w:lang w:val="en-GB"/>
              </w:rPr>
              <w:t>BG</w:t>
            </w:r>
          </w:p>
        </w:tc>
        <w:tc>
          <w:tcPr>
            <w:tcW w:w="1418" w:type="dxa"/>
            <w:vAlign w:val="center"/>
          </w:tcPr>
          <w:p w:rsidR="00EC7A51" w:rsidRPr="00EE1989" w:rsidRDefault="00EC7A51" w:rsidP="00EE1989">
            <w:pPr>
              <w:pStyle w:val="Table"/>
              <w:ind w:right="15"/>
              <w:jc w:val="center"/>
              <w:rPr>
                <w:b/>
                <w:sz w:val="20"/>
                <w:szCs w:val="20"/>
                <w:lang w:val="en-GB"/>
              </w:rPr>
            </w:pPr>
            <w:r w:rsidRPr="00EE1989">
              <w:rPr>
                <w:b/>
                <w:sz w:val="20"/>
                <w:szCs w:val="20"/>
                <w:lang w:val="en-GB"/>
              </w:rPr>
              <w:t>GR</w:t>
            </w:r>
          </w:p>
        </w:tc>
        <w:tc>
          <w:tcPr>
            <w:tcW w:w="1418" w:type="dxa"/>
            <w:vAlign w:val="center"/>
          </w:tcPr>
          <w:p w:rsidR="00EC7A51" w:rsidRPr="00EE1989" w:rsidRDefault="00EC7A51" w:rsidP="00EE1989">
            <w:pPr>
              <w:pStyle w:val="Table"/>
              <w:ind w:right="37"/>
              <w:jc w:val="center"/>
              <w:rPr>
                <w:b/>
                <w:sz w:val="20"/>
                <w:szCs w:val="20"/>
                <w:lang w:val="en-GB"/>
              </w:rPr>
            </w:pPr>
            <w:r w:rsidRPr="00EE1989">
              <w:rPr>
                <w:b/>
                <w:sz w:val="20"/>
                <w:szCs w:val="20"/>
                <w:lang w:val="en-GB"/>
              </w:rPr>
              <w:t>RO</w:t>
            </w:r>
          </w:p>
        </w:tc>
        <w:tc>
          <w:tcPr>
            <w:tcW w:w="1418" w:type="dxa"/>
            <w:vAlign w:val="center"/>
          </w:tcPr>
          <w:p w:rsidR="00EC7A51" w:rsidRPr="00EE1989" w:rsidRDefault="00EC7A51" w:rsidP="00EE1989">
            <w:pPr>
              <w:pStyle w:val="Table"/>
              <w:ind w:right="37"/>
              <w:jc w:val="center"/>
              <w:rPr>
                <w:b/>
                <w:sz w:val="20"/>
                <w:szCs w:val="20"/>
                <w:lang w:val="en-GB"/>
              </w:rPr>
            </w:pPr>
            <w:r w:rsidRPr="00EE1989">
              <w:rPr>
                <w:b/>
                <w:sz w:val="20"/>
                <w:szCs w:val="20"/>
                <w:lang w:val="en-GB"/>
              </w:rPr>
              <w:t>other</w:t>
            </w:r>
          </w:p>
        </w:tc>
        <w:tc>
          <w:tcPr>
            <w:tcW w:w="1418" w:type="dxa"/>
            <w:vAlign w:val="center"/>
          </w:tcPr>
          <w:p w:rsidR="00EC7A51" w:rsidRPr="00EE1989" w:rsidRDefault="00EC7A51" w:rsidP="00EE1989">
            <w:pPr>
              <w:pStyle w:val="Table"/>
              <w:ind w:right="37"/>
              <w:jc w:val="center"/>
              <w:rPr>
                <w:b/>
                <w:sz w:val="20"/>
                <w:szCs w:val="20"/>
                <w:lang w:val="en-GB"/>
              </w:rPr>
            </w:pPr>
            <w:r w:rsidRPr="00EE1989">
              <w:rPr>
                <w:b/>
                <w:sz w:val="20"/>
                <w:szCs w:val="20"/>
                <w:lang w:val="en-GB"/>
              </w:rPr>
              <w:t>all</w:t>
            </w:r>
          </w:p>
          <w:p w:rsidR="00EC7A51" w:rsidRPr="00EE1989" w:rsidRDefault="00EC7A51" w:rsidP="00EE1989">
            <w:pPr>
              <w:pStyle w:val="Table"/>
              <w:ind w:right="37"/>
              <w:jc w:val="center"/>
              <w:rPr>
                <w:b/>
                <w:sz w:val="20"/>
                <w:szCs w:val="20"/>
                <w:lang w:val="en-GB"/>
              </w:rPr>
            </w:pPr>
            <w:r w:rsidRPr="00EE1989">
              <w:rPr>
                <w:b/>
                <w:sz w:val="20"/>
                <w:szCs w:val="20"/>
                <w:lang w:val="en-GB"/>
              </w:rPr>
              <w:t>sources</w:t>
            </w:r>
          </w:p>
        </w:tc>
      </w:tr>
      <w:tr w:rsidR="00EC7A51" w:rsidRPr="003F4C7A" w:rsidTr="00786DC1">
        <w:trPr>
          <w:jc w:val="center"/>
        </w:trPr>
        <w:tc>
          <w:tcPr>
            <w:tcW w:w="1535" w:type="dxa"/>
            <w:vAlign w:val="center"/>
          </w:tcPr>
          <w:p w:rsidR="00EC7A51" w:rsidRPr="00EE1989" w:rsidRDefault="00EC7A51" w:rsidP="00EE1989">
            <w:pPr>
              <w:spacing w:after="0" w:line="240" w:lineRule="auto"/>
              <w:rPr>
                <w:b/>
                <w:sz w:val="20"/>
                <w:szCs w:val="20"/>
                <w:lang w:val="en-GB"/>
              </w:rPr>
            </w:pPr>
            <w:r w:rsidRPr="00EE1989">
              <w:rPr>
                <w:b/>
                <w:sz w:val="20"/>
                <w:szCs w:val="20"/>
                <w:lang w:val="en-GB"/>
              </w:rPr>
              <w:t>BG</w:t>
            </w:r>
          </w:p>
        </w:tc>
        <w:tc>
          <w:tcPr>
            <w:tcW w:w="1418" w:type="dxa"/>
            <w:shd w:val="clear" w:color="auto" w:fill="B3B3B3"/>
            <w:vAlign w:val="center"/>
          </w:tcPr>
          <w:p w:rsidR="00EC7A51" w:rsidRPr="00EE1989" w:rsidRDefault="00EC7A51" w:rsidP="00EE1989">
            <w:pPr>
              <w:spacing w:after="0" w:line="240" w:lineRule="auto"/>
              <w:ind w:right="334"/>
              <w:jc w:val="right"/>
              <w:rPr>
                <w:sz w:val="20"/>
                <w:szCs w:val="20"/>
                <w:lang w:val="en-GB"/>
              </w:rPr>
            </w:pPr>
            <w:r w:rsidRPr="00EE1989">
              <w:rPr>
                <w:sz w:val="20"/>
                <w:szCs w:val="20"/>
                <w:lang w:val="en-GB"/>
              </w:rPr>
              <w:t>10.276</w:t>
            </w:r>
          </w:p>
        </w:tc>
        <w:tc>
          <w:tcPr>
            <w:tcW w:w="1418" w:type="dxa"/>
            <w:vAlign w:val="center"/>
          </w:tcPr>
          <w:p w:rsidR="00EC7A51" w:rsidRPr="00EE1989" w:rsidRDefault="00EC7A51" w:rsidP="00EE1989">
            <w:pPr>
              <w:spacing w:after="0" w:line="240" w:lineRule="auto"/>
              <w:ind w:right="249"/>
              <w:jc w:val="right"/>
              <w:rPr>
                <w:sz w:val="20"/>
                <w:szCs w:val="20"/>
                <w:lang w:val="en-GB"/>
              </w:rPr>
            </w:pPr>
            <w:r w:rsidRPr="00EE1989">
              <w:rPr>
                <w:sz w:val="20"/>
                <w:szCs w:val="20"/>
                <w:lang w:val="en-GB"/>
              </w:rPr>
              <w:t>0.098</w:t>
            </w:r>
          </w:p>
        </w:tc>
        <w:tc>
          <w:tcPr>
            <w:tcW w:w="1418" w:type="dxa"/>
            <w:vAlign w:val="center"/>
          </w:tcPr>
          <w:p w:rsidR="00EC7A51" w:rsidRPr="00EE1989" w:rsidRDefault="00EC7A51" w:rsidP="00EE1989">
            <w:pPr>
              <w:spacing w:after="0" w:line="240" w:lineRule="auto"/>
              <w:ind w:right="164"/>
              <w:jc w:val="right"/>
              <w:rPr>
                <w:sz w:val="20"/>
                <w:szCs w:val="20"/>
                <w:lang w:val="en-GB"/>
              </w:rPr>
            </w:pPr>
            <w:r w:rsidRPr="00EE1989">
              <w:rPr>
                <w:sz w:val="20"/>
                <w:szCs w:val="20"/>
                <w:lang w:val="en-GB"/>
              </w:rPr>
              <w:t>1.631</w:t>
            </w:r>
          </w:p>
        </w:tc>
        <w:tc>
          <w:tcPr>
            <w:tcW w:w="1418" w:type="dxa"/>
            <w:vAlign w:val="center"/>
          </w:tcPr>
          <w:p w:rsidR="00EC7A51" w:rsidRPr="00EE1989" w:rsidRDefault="00EC7A51" w:rsidP="00EE1989">
            <w:pPr>
              <w:spacing w:after="0" w:line="240" w:lineRule="auto"/>
              <w:ind w:right="260"/>
              <w:jc w:val="right"/>
              <w:rPr>
                <w:sz w:val="20"/>
                <w:szCs w:val="20"/>
                <w:lang w:val="en-GB"/>
              </w:rPr>
            </w:pPr>
            <w:r w:rsidRPr="00EE1989">
              <w:rPr>
                <w:sz w:val="20"/>
                <w:szCs w:val="20"/>
                <w:lang w:val="en-GB"/>
              </w:rPr>
              <w:t>1.940</w:t>
            </w:r>
          </w:p>
        </w:tc>
        <w:tc>
          <w:tcPr>
            <w:tcW w:w="1418" w:type="dxa"/>
            <w:vAlign w:val="center"/>
          </w:tcPr>
          <w:p w:rsidR="00EC7A51" w:rsidRPr="00EE1989" w:rsidRDefault="00EC7A51" w:rsidP="00EE1989">
            <w:pPr>
              <w:spacing w:after="0" w:line="240" w:lineRule="auto"/>
              <w:ind w:right="176"/>
              <w:jc w:val="right"/>
              <w:rPr>
                <w:sz w:val="20"/>
                <w:szCs w:val="20"/>
                <w:lang w:val="en-GB"/>
              </w:rPr>
            </w:pPr>
            <w:r w:rsidRPr="00EE1989">
              <w:rPr>
                <w:sz w:val="20"/>
                <w:szCs w:val="20"/>
                <w:lang w:val="en-GB"/>
              </w:rPr>
              <w:t>19.492</w:t>
            </w:r>
          </w:p>
        </w:tc>
      </w:tr>
      <w:tr w:rsidR="00EC7A51" w:rsidRPr="003F4C7A" w:rsidTr="00786DC1">
        <w:trPr>
          <w:jc w:val="center"/>
        </w:trPr>
        <w:tc>
          <w:tcPr>
            <w:tcW w:w="1535" w:type="dxa"/>
            <w:vAlign w:val="center"/>
          </w:tcPr>
          <w:p w:rsidR="00EC7A51" w:rsidRPr="00EE1989" w:rsidRDefault="00EC7A51" w:rsidP="00EE1989">
            <w:pPr>
              <w:pStyle w:val="Table"/>
              <w:jc w:val="center"/>
              <w:rPr>
                <w:b/>
                <w:sz w:val="20"/>
                <w:szCs w:val="20"/>
                <w:lang w:val="en-GB"/>
              </w:rPr>
            </w:pPr>
            <w:r w:rsidRPr="00EE1989">
              <w:rPr>
                <w:b/>
                <w:sz w:val="20"/>
                <w:szCs w:val="20"/>
                <w:lang w:val="en-GB"/>
              </w:rPr>
              <w:t>GR</w:t>
            </w:r>
          </w:p>
        </w:tc>
        <w:tc>
          <w:tcPr>
            <w:tcW w:w="1418" w:type="dxa"/>
            <w:vAlign w:val="center"/>
          </w:tcPr>
          <w:p w:rsidR="00EC7A51" w:rsidRPr="00EE1989" w:rsidRDefault="00EC7A51" w:rsidP="00EE1989">
            <w:pPr>
              <w:spacing w:after="0" w:line="240" w:lineRule="auto"/>
              <w:ind w:right="334"/>
              <w:jc w:val="right"/>
              <w:rPr>
                <w:sz w:val="20"/>
                <w:szCs w:val="20"/>
                <w:lang w:val="en-GB"/>
              </w:rPr>
            </w:pPr>
            <w:r w:rsidRPr="00EE1989">
              <w:rPr>
                <w:sz w:val="20"/>
                <w:szCs w:val="20"/>
                <w:lang w:val="en-GB"/>
              </w:rPr>
              <w:t>2.464</w:t>
            </w:r>
          </w:p>
        </w:tc>
        <w:tc>
          <w:tcPr>
            <w:tcW w:w="1418" w:type="dxa"/>
            <w:shd w:val="clear" w:color="auto" w:fill="B3B3B3"/>
            <w:vAlign w:val="center"/>
          </w:tcPr>
          <w:p w:rsidR="00EC7A51" w:rsidRPr="00EE1989" w:rsidRDefault="00EC7A51" w:rsidP="00EE1989">
            <w:pPr>
              <w:spacing w:after="0" w:line="240" w:lineRule="auto"/>
              <w:ind w:right="249"/>
              <w:jc w:val="right"/>
              <w:rPr>
                <w:sz w:val="20"/>
                <w:szCs w:val="20"/>
                <w:lang w:val="en-GB"/>
              </w:rPr>
            </w:pPr>
            <w:r w:rsidRPr="00EE1989">
              <w:rPr>
                <w:sz w:val="20"/>
                <w:szCs w:val="20"/>
                <w:lang w:val="en-GB"/>
              </w:rPr>
              <w:t>2.689</w:t>
            </w:r>
          </w:p>
        </w:tc>
        <w:tc>
          <w:tcPr>
            <w:tcW w:w="1418" w:type="dxa"/>
            <w:vAlign w:val="center"/>
          </w:tcPr>
          <w:p w:rsidR="00EC7A51" w:rsidRPr="00EE1989" w:rsidRDefault="00EC7A51" w:rsidP="00EE1989">
            <w:pPr>
              <w:spacing w:after="0" w:line="240" w:lineRule="auto"/>
              <w:ind w:right="164"/>
              <w:jc w:val="right"/>
              <w:rPr>
                <w:sz w:val="20"/>
                <w:szCs w:val="20"/>
                <w:lang w:val="en-GB"/>
              </w:rPr>
            </w:pPr>
            <w:r w:rsidRPr="00EE1989">
              <w:rPr>
                <w:sz w:val="20"/>
                <w:szCs w:val="20"/>
                <w:lang w:val="en-GB"/>
              </w:rPr>
              <w:t>0.464</w:t>
            </w:r>
          </w:p>
        </w:tc>
        <w:tc>
          <w:tcPr>
            <w:tcW w:w="1418" w:type="dxa"/>
            <w:vAlign w:val="center"/>
          </w:tcPr>
          <w:p w:rsidR="00EC7A51" w:rsidRPr="00EE1989" w:rsidRDefault="00EC7A51" w:rsidP="00EE1989">
            <w:pPr>
              <w:spacing w:after="0" w:line="240" w:lineRule="auto"/>
              <w:ind w:right="260"/>
              <w:jc w:val="right"/>
              <w:rPr>
                <w:sz w:val="20"/>
                <w:szCs w:val="20"/>
                <w:lang w:val="en-GB"/>
              </w:rPr>
            </w:pPr>
            <w:r w:rsidRPr="00EE1989">
              <w:rPr>
                <w:sz w:val="20"/>
                <w:szCs w:val="20"/>
                <w:lang w:val="en-GB"/>
              </w:rPr>
              <w:t>3.278</w:t>
            </w:r>
          </w:p>
        </w:tc>
        <w:tc>
          <w:tcPr>
            <w:tcW w:w="1418" w:type="dxa"/>
            <w:vAlign w:val="center"/>
          </w:tcPr>
          <w:p w:rsidR="00EC7A51" w:rsidRPr="00EE1989" w:rsidRDefault="00EC7A51" w:rsidP="00EE1989">
            <w:pPr>
              <w:spacing w:after="0" w:line="240" w:lineRule="auto"/>
              <w:ind w:right="176"/>
              <w:jc w:val="right"/>
              <w:rPr>
                <w:sz w:val="20"/>
                <w:szCs w:val="20"/>
                <w:lang w:val="en-GB"/>
              </w:rPr>
            </w:pPr>
            <w:r w:rsidRPr="00EE1989">
              <w:rPr>
                <w:sz w:val="20"/>
                <w:szCs w:val="20"/>
                <w:lang w:val="en-GB"/>
              </w:rPr>
              <w:t>5.645</w:t>
            </w:r>
          </w:p>
        </w:tc>
      </w:tr>
      <w:tr w:rsidR="00EC7A51" w:rsidRPr="003F4C7A" w:rsidTr="00786DC1">
        <w:trPr>
          <w:jc w:val="center"/>
        </w:trPr>
        <w:tc>
          <w:tcPr>
            <w:tcW w:w="1535" w:type="dxa"/>
            <w:vAlign w:val="center"/>
          </w:tcPr>
          <w:p w:rsidR="00EC7A51" w:rsidRPr="00EE1989" w:rsidRDefault="00EC7A51" w:rsidP="00EE1989">
            <w:pPr>
              <w:pStyle w:val="Table"/>
              <w:jc w:val="center"/>
              <w:rPr>
                <w:b/>
                <w:sz w:val="20"/>
                <w:szCs w:val="20"/>
                <w:lang w:val="en-GB"/>
              </w:rPr>
            </w:pPr>
            <w:r w:rsidRPr="00EE1989">
              <w:rPr>
                <w:b/>
                <w:sz w:val="20"/>
                <w:szCs w:val="20"/>
                <w:lang w:val="en-GB"/>
              </w:rPr>
              <w:t>RO</w:t>
            </w:r>
          </w:p>
        </w:tc>
        <w:tc>
          <w:tcPr>
            <w:tcW w:w="1418" w:type="dxa"/>
            <w:vAlign w:val="center"/>
          </w:tcPr>
          <w:p w:rsidR="00EC7A51" w:rsidRPr="00EE1989" w:rsidRDefault="00EC7A51" w:rsidP="00EE1989">
            <w:pPr>
              <w:spacing w:after="0" w:line="240" w:lineRule="auto"/>
              <w:ind w:right="334"/>
              <w:jc w:val="right"/>
              <w:rPr>
                <w:sz w:val="20"/>
                <w:szCs w:val="20"/>
                <w:lang w:val="en-GB"/>
              </w:rPr>
            </w:pPr>
            <w:r w:rsidRPr="00EE1989">
              <w:rPr>
                <w:sz w:val="20"/>
                <w:szCs w:val="20"/>
                <w:lang w:val="en-GB"/>
              </w:rPr>
              <w:t>0.812</w:t>
            </w:r>
          </w:p>
        </w:tc>
        <w:tc>
          <w:tcPr>
            <w:tcW w:w="1418" w:type="dxa"/>
            <w:vAlign w:val="center"/>
          </w:tcPr>
          <w:p w:rsidR="00EC7A51" w:rsidRPr="00EE1989" w:rsidRDefault="00EC7A51" w:rsidP="00EE1989">
            <w:pPr>
              <w:spacing w:after="0" w:line="240" w:lineRule="auto"/>
              <w:ind w:right="249"/>
              <w:jc w:val="right"/>
              <w:rPr>
                <w:sz w:val="20"/>
                <w:szCs w:val="20"/>
                <w:lang w:val="en-GB"/>
              </w:rPr>
            </w:pPr>
            <w:r w:rsidRPr="00EE1989">
              <w:rPr>
                <w:sz w:val="20"/>
                <w:szCs w:val="20"/>
                <w:lang w:val="en-GB"/>
              </w:rPr>
              <w:t>0.014</w:t>
            </w:r>
          </w:p>
        </w:tc>
        <w:tc>
          <w:tcPr>
            <w:tcW w:w="1418" w:type="dxa"/>
            <w:shd w:val="clear" w:color="auto" w:fill="B3B3B3"/>
            <w:vAlign w:val="center"/>
          </w:tcPr>
          <w:p w:rsidR="00EC7A51" w:rsidRPr="00EE1989" w:rsidRDefault="00EC7A51" w:rsidP="00EE1989">
            <w:pPr>
              <w:spacing w:after="0" w:line="240" w:lineRule="auto"/>
              <w:ind w:right="164"/>
              <w:jc w:val="right"/>
              <w:rPr>
                <w:sz w:val="20"/>
                <w:szCs w:val="20"/>
                <w:lang w:val="en-GB"/>
              </w:rPr>
            </w:pPr>
            <w:r w:rsidRPr="00EE1989">
              <w:rPr>
                <w:sz w:val="20"/>
                <w:szCs w:val="20"/>
                <w:lang w:val="en-GB"/>
              </w:rPr>
              <w:t>10.980</w:t>
            </w:r>
          </w:p>
        </w:tc>
        <w:tc>
          <w:tcPr>
            <w:tcW w:w="1418" w:type="dxa"/>
            <w:vAlign w:val="center"/>
          </w:tcPr>
          <w:p w:rsidR="00EC7A51" w:rsidRPr="00EE1989" w:rsidRDefault="00EC7A51" w:rsidP="00EE1989">
            <w:pPr>
              <w:spacing w:after="0" w:line="240" w:lineRule="auto"/>
              <w:ind w:right="260"/>
              <w:jc w:val="right"/>
              <w:rPr>
                <w:sz w:val="20"/>
                <w:szCs w:val="20"/>
                <w:lang w:val="en-GB"/>
              </w:rPr>
            </w:pPr>
            <w:r w:rsidRPr="00EE1989">
              <w:rPr>
                <w:sz w:val="20"/>
                <w:szCs w:val="20"/>
                <w:lang w:val="en-GB"/>
              </w:rPr>
              <w:t>4.991</w:t>
            </w:r>
          </w:p>
        </w:tc>
        <w:tc>
          <w:tcPr>
            <w:tcW w:w="1418" w:type="dxa"/>
            <w:vAlign w:val="center"/>
          </w:tcPr>
          <w:p w:rsidR="00EC7A51" w:rsidRPr="00EE1989" w:rsidRDefault="00EC7A51" w:rsidP="00EE1989">
            <w:pPr>
              <w:spacing w:after="0" w:line="240" w:lineRule="auto"/>
              <w:ind w:right="176"/>
              <w:jc w:val="right"/>
              <w:rPr>
                <w:sz w:val="20"/>
                <w:szCs w:val="20"/>
                <w:lang w:val="en-GB"/>
              </w:rPr>
            </w:pPr>
            <w:r w:rsidRPr="00EE1989">
              <w:rPr>
                <w:sz w:val="20"/>
                <w:szCs w:val="20"/>
                <w:lang w:val="en-GB"/>
              </w:rPr>
              <w:t>16.325</w:t>
            </w:r>
          </w:p>
        </w:tc>
      </w:tr>
      <w:tr w:rsidR="00EC7A51" w:rsidRPr="003F4C7A" w:rsidTr="00786DC1">
        <w:trPr>
          <w:jc w:val="center"/>
        </w:trPr>
        <w:tc>
          <w:tcPr>
            <w:tcW w:w="1535" w:type="dxa"/>
            <w:vAlign w:val="center"/>
          </w:tcPr>
          <w:p w:rsidR="00EC7A51" w:rsidRPr="00EE1989" w:rsidRDefault="00EC7A51" w:rsidP="00EE1989">
            <w:pPr>
              <w:pStyle w:val="Table"/>
              <w:jc w:val="center"/>
              <w:rPr>
                <w:b/>
                <w:sz w:val="20"/>
                <w:szCs w:val="20"/>
                <w:lang w:val="en-GB"/>
              </w:rPr>
            </w:pPr>
            <w:r w:rsidRPr="00EE1989">
              <w:rPr>
                <w:b/>
                <w:sz w:val="20"/>
                <w:szCs w:val="20"/>
                <w:lang w:val="en-GB"/>
              </w:rPr>
              <w:t>other</w:t>
            </w:r>
          </w:p>
        </w:tc>
        <w:tc>
          <w:tcPr>
            <w:tcW w:w="1418" w:type="dxa"/>
            <w:vAlign w:val="center"/>
          </w:tcPr>
          <w:p w:rsidR="00EC7A51" w:rsidRPr="00EE1989" w:rsidRDefault="00EC7A51" w:rsidP="00EE1989">
            <w:pPr>
              <w:spacing w:after="0" w:line="240" w:lineRule="auto"/>
              <w:ind w:right="334"/>
              <w:jc w:val="right"/>
              <w:rPr>
                <w:sz w:val="20"/>
                <w:szCs w:val="20"/>
                <w:lang w:val="en-GB"/>
              </w:rPr>
            </w:pPr>
            <w:r w:rsidRPr="00EE1989">
              <w:rPr>
                <w:sz w:val="20"/>
                <w:szCs w:val="20"/>
                <w:lang w:val="en-GB"/>
              </w:rPr>
              <w:t>5.941</w:t>
            </w:r>
          </w:p>
        </w:tc>
        <w:tc>
          <w:tcPr>
            <w:tcW w:w="1418" w:type="dxa"/>
            <w:vAlign w:val="center"/>
          </w:tcPr>
          <w:p w:rsidR="00EC7A51" w:rsidRPr="00EE1989" w:rsidRDefault="00EC7A51" w:rsidP="00EE1989">
            <w:pPr>
              <w:spacing w:after="0" w:line="240" w:lineRule="auto"/>
              <w:ind w:right="249"/>
              <w:jc w:val="right"/>
              <w:rPr>
                <w:sz w:val="20"/>
                <w:szCs w:val="20"/>
                <w:lang w:val="en-GB"/>
              </w:rPr>
            </w:pPr>
            <w:r w:rsidRPr="00EE1989">
              <w:rPr>
                <w:sz w:val="20"/>
                <w:szCs w:val="20"/>
                <w:lang w:val="en-GB"/>
              </w:rPr>
              <w:t>2.845</w:t>
            </w:r>
          </w:p>
        </w:tc>
        <w:tc>
          <w:tcPr>
            <w:tcW w:w="1418" w:type="dxa"/>
            <w:vAlign w:val="center"/>
          </w:tcPr>
          <w:p w:rsidR="00EC7A51" w:rsidRPr="00EE1989" w:rsidRDefault="00EC7A51" w:rsidP="00EE1989">
            <w:pPr>
              <w:spacing w:after="0" w:line="240" w:lineRule="auto"/>
              <w:ind w:right="164"/>
              <w:jc w:val="right"/>
              <w:rPr>
                <w:sz w:val="20"/>
                <w:szCs w:val="20"/>
                <w:lang w:val="en-GB"/>
              </w:rPr>
            </w:pPr>
            <w:r w:rsidRPr="00EE1989">
              <w:rPr>
                <w:sz w:val="20"/>
                <w:szCs w:val="20"/>
                <w:lang w:val="en-GB"/>
              </w:rPr>
              <w:t>3.252</w:t>
            </w:r>
          </w:p>
        </w:tc>
        <w:tc>
          <w:tcPr>
            <w:tcW w:w="1418" w:type="dxa"/>
            <w:shd w:val="clear" w:color="auto" w:fill="B3B3B3"/>
            <w:vAlign w:val="center"/>
          </w:tcPr>
          <w:p w:rsidR="00EC7A51" w:rsidRPr="00EE1989" w:rsidRDefault="00EC7A51" w:rsidP="00EE1989">
            <w:pPr>
              <w:spacing w:after="0" w:line="240" w:lineRule="auto"/>
              <w:ind w:right="260"/>
              <w:jc w:val="right"/>
              <w:rPr>
                <w:sz w:val="20"/>
                <w:szCs w:val="20"/>
                <w:lang w:val="en-GB"/>
              </w:rPr>
            </w:pPr>
            <w:r w:rsidRPr="00EE1989">
              <w:rPr>
                <w:sz w:val="20"/>
                <w:szCs w:val="20"/>
                <w:lang w:val="en-GB"/>
              </w:rPr>
              <w:t>41.275</w:t>
            </w:r>
          </w:p>
        </w:tc>
        <w:tc>
          <w:tcPr>
            <w:tcW w:w="1418" w:type="dxa"/>
            <w:vAlign w:val="center"/>
          </w:tcPr>
          <w:p w:rsidR="00EC7A51" w:rsidRPr="00EE1989" w:rsidRDefault="00EC7A51" w:rsidP="00EE1989">
            <w:pPr>
              <w:spacing w:after="0" w:line="240" w:lineRule="auto"/>
              <w:ind w:right="176"/>
              <w:jc w:val="right"/>
              <w:rPr>
                <w:sz w:val="20"/>
                <w:szCs w:val="20"/>
                <w:lang w:val="en-GB"/>
              </w:rPr>
            </w:pPr>
            <w:r w:rsidRPr="00EE1989">
              <w:rPr>
                <w:sz w:val="20"/>
                <w:szCs w:val="20"/>
                <w:lang w:val="en-GB"/>
              </w:rPr>
              <w:t>51.485</w:t>
            </w:r>
          </w:p>
        </w:tc>
      </w:tr>
      <w:tr w:rsidR="00EC7A51" w:rsidRPr="003F4C7A" w:rsidTr="00786DC1">
        <w:trPr>
          <w:jc w:val="center"/>
        </w:trPr>
        <w:tc>
          <w:tcPr>
            <w:tcW w:w="1535" w:type="dxa"/>
            <w:vAlign w:val="center"/>
          </w:tcPr>
          <w:p w:rsidR="00EC7A51" w:rsidRPr="00EE1989" w:rsidRDefault="00EC7A51" w:rsidP="00EE1989">
            <w:pPr>
              <w:pStyle w:val="Table"/>
              <w:jc w:val="center"/>
              <w:rPr>
                <w:b/>
                <w:sz w:val="20"/>
                <w:szCs w:val="20"/>
                <w:lang w:val="en-GB"/>
              </w:rPr>
            </w:pPr>
            <w:r w:rsidRPr="00EE1989">
              <w:rPr>
                <w:b/>
                <w:sz w:val="20"/>
                <w:szCs w:val="20"/>
                <w:lang w:val="en-GB"/>
              </w:rPr>
              <w:t>deposited</w:t>
            </w:r>
          </w:p>
        </w:tc>
        <w:tc>
          <w:tcPr>
            <w:tcW w:w="1418" w:type="dxa"/>
            <w:vAlign w:val="center"/>
          </w:tcPr>
          <w:p w:rsidR="00EC7A51" w:rsidRPr="00EE1989" w:rsidRDefault="00EC7A51" w:rsidP="00EE1989">
            <w:pPr>
              <w:spacing w:after="0" w:line="240" w:lineRule="auto"/>
              <w:ind w:right="334"/>
              <w:jc w:val="right"/>
              <w:rPr>
                <w:sz w:val="20"/>
                <w:szCs w:val="20"/>
                <w:lang w:val="en-GB"/>
              </w:rPr>
            </w:pPr>
            <w:r w:rsidRPr="00EE1989">
              <w:rPr>
                <w:sz w:val="20"/>
                <w:szCs w:val="20"/>
                <w:lang w:val="en-GB"/>
              </w:rPr>
              <w:t>19.492</w:t>
            </w:r>
          </w:p>
        </w:tc>
        <w:tc>
          <w:tcPr>
            <w:tcW w:w="1418" w:type="dxa"/>
            <w:vAlign w:val="center"/>
          </w:tcPr>
          <w:p w:rsidR="00EC7A51" w:rsidRPr="00EE1989" w:rsidRDefault="00EC7A51" w:rsidP="00EE1989">
            <w:pPr>
              <w:spacing w:after="0" w:line="240" w:lineRule="auto"/>
              <w:ind w:right="249"/>
              <w:jc w:val="right"/>
              <w:rPr>
                <w:sz w:val="20"/>
                <w:szCs w:val="20"/>
                <w:lang w:val="en-GB"/>
              </w:rPr>
            </w:pPr>
            <w:r w:rsidRPr="00EE1989">
              <w:rPr>
                <w:sz w:val="20"/>
                <w:szCs w:val="20"/>
                <w:lang w:val="en-GB"/>
              </w:rPr>
              <w:t>5.645</w:t>
            </w:r>
          </w:p>
        </w:tc>
        <w:tc>
          <w:tcPr>
            <w:tcW w:w="1418" w:type="dxa"/>
            <w:vAlign w:val="center"/>
          </w:tcPr>
          <w:p w:rsidR="00EC7A51" w:rsidRPr="00EE1989" w:rsidRDefault="00EC7A51" w:rsidP="00EE1989">
            <w:pPr>
              <w:spacing w:after="0" w:line="240" w:lineRule="auto"/>
              <w:ind w:right="164"/>
              <w:jc w:val="right"/>
              <w:rPr>
                <w:sz w:val="20"/>
                <w:szCs w:val="20"/>
                <w:lang w:val="en-GB"/>
              </w:rPr>
            </w:pPr>
            <w:r w:rsidRPr="00EE1989">
              <w:rPr>
                <w:sz w:val="20"/>
                <w:szCs w:val="20"/>
                <w:lang w:val="en-GB"/>
              </w:rPr>
              <w:t>16.325</w:t>
            </w:r>
          </w:p>
        </w:tc>
        <w:tc>
          <w:tcPr>
            <w:tcW w:w="1418" w:type="dxa"/>
            <w:vAlign w:val="center"/>
          </w:tcPr>
          <w:p w:rsidR="00EC7A51" w:rsidRPr="00EE1989" w:rsidRDefault="00EC7A51" w:rsidP="00EE1989">
            <w:pPr>
              <w:spacing w:after="0" w:line="240" w:lineRule="auto"/>
              <w:ind w:right="260"/>
              <w:jc w:val="right"/>
              <w:rPr>
                <w:sz w:val="20"/>
                <w:szCs w:val="20"/>
                <w:lang w:val="en-GB"/>
              </w:rPr>
            </w:pPr>
            <w:r w:rsidRPr="00EE1989">
              <w:rPr>
                <w:sz w:val="20"/>
                <w:szCs w:val="20"/>
                <w:lang w:val="en-GB"/>
              </w:rPr>
              <w:t>51.485</w:t>
            </w:r>
          </w:p>
        </w:tc>
        <w:tc>
          <w:tcPr>
            <w:tcW w:w="1418" w:type="dxa"/>
            <w:vAlign w:val="center"/>
          </w:tcPr>
          <w:p w:rsidR="00EC7A51" w:rsidRPr="00EE1989" w:rsidRDefault="00EC7A51" w:rsidP="00EE1989">
            <w:pPr>
              <w:spacing w:after="0" w:line="240" w:lineRule="auto"/>
              <w:ind w:right="176"/>
              <w:jc w:val="right"/>
              <w:rPr>
                <w:sz w:val="20"/>
                <w:szCs w:val="20"/>
                <w:lang w:val="en-GB"/>
              </w:rPr>
            </w:pPr>
            <w:r w:rsidRPr="00EE1989">
              <w:rPr>
                <w:sz w:val="20"/>
                <w:szCs w:val="20"/>
                <w:lang w:val="en-GB"/>
              </w:rPr>
              <w:t>92.947</w:t>
            </w:r>
          </w:p>
        </w:tc>
      </w:tr>
      <w:tr w:rsidR="00EC7A51" w:rsidRPr="003F4C7A" w:rsidTr="00786DC1">
        <w:trPr>
          <w:jc w:val="center"/>
        </w:trPr>
        <w:tc>
          <w:tcPr>
            <w:tcW w:w="1535" w:type="dxa"/>
            <w:vAlign w:val="center"/>
          </w:tcPr>
          <w:p w:rsidR="00EC7A51" w:rsidRPr="00EE1989" w:rsidRDefault="00EC7A51" w:rsidP="00EE1989">
            <w:pPr>
              <w:pStyle w:val="Table"/>
              <w:jc w:val="center"/>
              <w:rPr>
                <w:b/>
                <w:sz w:val="20"/>
                <w:szCs w:val="20"/>
                <w:lang w:val="en-GB"/>
              </w:rPr>
            </w:pPr>
            <w:r w:rsidRPr="00EE1989">
              <w:rPr>
                <w:b/>
                <w:sz w:val="20"/>
                <w:szCs w:val="20"/>
                <w:lang w:val="en-GB"/>
              </w:rPr>
              <w:t>total emission [S]</w:t>
            </w:r>
          </w:p>
        </w:tc>
        <w:tc>
          <w:tcPr>
            <w:tcW w:w="1418" w:type="dxa"/>
            <w:vAlign w:val="center"/>
          </w:tcPr>
          <w:p w:rsidR="00EC7A51" w:rsidRPr="00EE1989" w:rsidRDefault="00EC7A51" w:rsidP="00EE1989">
            <w:pPr>
              <w:spacing w:after="0" w:line="240" w:lineRule="auto"/>
              <w:ind w:right="334"/>
              <w:jc w:val="right"/>
              <w:rPr>
                <w:sz w:val="20"/>
                <w:szCs w:val="20"/>
                <w:lang w:val="en-GB"/>
              </w:rPr>
            </w:pPr>
            <w:r w:rsidRPr="00EE1989">
              <w:rPr>
                <w:sz w:val="20"/>
                <w:szCs w:val="20"/>
                <w:lang w:val="en-GB"/>
              </w:rPr>
              <w:t>72.425</w:t>
            </w:r>
          </w:p>
        </w:tc>
        <w:tc>
          <w:tcPr>
            <w:tcW w:w="1418" w:type="dxa"/>
            <w:vAlign w:val="center"/>
          </w:tcPr>
          <w:p w:rsidR="00EC7A51" w:rsidRPr="00EE1989" w:rsidRDefault="00EC7A51" w:rsidP="00EE1989">
            <w:pPr>
              <w:spacing w:after="0" w:line="240" w:lineRule="auto"/>
              <w:ind w:right="249"/>
              <w:jc w:val="right"/>
              <w:rPr>
                <w:sz w:val="20"/>
                <w:szCs w:val="20"/>
                <w:lang w:val="en-GB"/>
              </w:rPr>
            </w:pPr>
            <w:r w:rsidRPr="00EE1989">
              <w:rPr>
                <w:sz w:val="20"/>
                <w:szCs w:val="20"/>
                <w:lang w:val="en-GB"/>
              </w:rPr>
              <w:t>26.708</w:t>
            </w:r>
          </w:p>
        </w:tc>
        <w:tc>
          <w:tcPr>
            <w:tcW w:w="1418" w:type="dxa"/>
            <w:vAlign w:val="center"/>
          </w:tcPr>
          <w:p w:rsidR="00EC7A51" w:rsidRPr="00EE1989" w:rsidRDefault="00EC7A51" w:rsidP="00EE1989">
            <w:pPr>
              <w:spacing w:after="0" w:line="240" w:lineRule="auto"/>
              <w:ind w:right="164"/>
              <w:jc w:val="right"/>
              <w:rPr>
                <w:sz w:val="20"/>
                <w:szCs w:val="20"/>
                <w:lang w:val="en-GB"/>
              </w:rPr>
            </w:pPr>
            <w:r w:rsidRPr="00EE1989">
              <w:rPr>
                <w:sz w:val="20"/>
                <w:szCs w:val="20"/>
                <w:lang w:val="en-GB"/>
              </w:rPr>
              <w:t>68.374</w:t>
            </w:r>
          </w:p>
        </w:tc>
        <w:tc>
          <w:tcPr>
            <w:tcW w:w="1418" w:type="dxa"/>
            <w:vAlign w:val="center"/>
          </w:tcPr>
          <w:p w:rsidR="00EC7A51" w:rsidRPr="00EE1989" w:rsidRDefault="00EC7A51" w:rsidP="00EE1989">
            <w:pPr>
              <w:spacing w:after="0" w:line="240" w:lineRule="auto"/>
              <w:ind w:right="260"/>
              <w:jc w:val="right"/>
              <w:rPr>
                <w:sz w:val="20"/>
                <w:szCs w:val="20"/>
                <w:lang w:val="en-GB"/>
              </w:rPr>
            </w:pPr>
            <w:r w:rsidRPr="00EE1989">
              <w:rPr>
                <w:sz w:val="20"/>
                <w:szCs w:val="20"/>
                <w:lang w:val="en-GB"/>
              </w:rPr>
              <w:t>180.789</w:t>
            </w:r>
          </w:p>
        </w:tc>
        <w:tc>
          <w:tcPr>
            <w:tcW w:w="1418" w:type="dxa"/>
            <w:vAlign w:val="center"/>
          </w:tcPr>
          <w:p w:rsidR="00EC7A51" w:rsidRPr="00EE1989" w:rsidRDefault="00EC7A51" w:rsidP="00EE1989">
            <w:pPr>
              <w:spacing w:after="0" w:line="240" w:lineRule="auto"/>
              <w:ind w:right="176"/>
              <w:jc w:val="right"/>
              <w:rPr>
                <w:sz w:val="20"/>
                <w:szCs w:val="20"/>
                <w:lang w:val="en-GB"/>
              </w:rPr>
            </w:pPr>
            <w:r w:rsidRPr="00EE1989">
              <w:rPr>
                <w:sz w:val="20"/>
                <w:szCs w:val="20"/>
                <w:lang w:val="en-GB"/>
              </w:rPr>
              <w:t>348.297</w:t>
            </w:r>
          </w:p>
        </w:tc>
      </w:tr>
      <w:tr w:rsidR="00EC7A51" w:rsidRPr="003F4C7A" w:rsidTr="00786DC1">
        <w:trPr>
          <w:jc w:val="center"/>
        </w:trPr>
        <w:tc>
          <w:tcPr>
            <w:tcW w:w="1535" w:type="dxa"/>
            <w:vAlign w:val="center"/>
          </w:tcPr>
          <w:p w:rsidR="00EC7A51" w:rsidRPr="00EE1989" w:rsidRDefault="00EC7A51" w:rsidP="00EE1989">
            <w:pPr>
              <w:pStyle w:val="Table"/>
              <w:jc w:val="center"/>
              <w:rPr>
                <w:b/>
                <w:sz w:val="20"/>
                <w:szCs w:val="20"/>
                <w:lang w:val="en-GB"/>
              </w:rPr>
            </w:pPr>
            <w:r w:rsidRPr="00EE1989">
              <w:rPr>
                <w:b/>
                <w:sz w:val="20"/>
                <w:szCs w:val="20"/>
                <w:lang w:val="en-GB"/>
              </w:rPr>
              <w:t>% Rec/Emit</w:t>
            </w:r>
          </w:p>
        </w:tc>
        <w:tc>
          <w:tcPr>
            <w:tcW w:w="1418" w:type="dxa"/>
            <w:vAlign w:val="center"/>
          </w:tcPr>
          <w:p w:rsidR="00EC7A51" w:rsidRPr="00EE1989" w:rsidRDefault="00EC7A51" w:rsidP="00EE1989">
            <w:pPr>
              <w:spacing w:after="0" w:line="240" w:lineRule="auto"/>
              <w:ind w:right="334"/>
              <w:jc w:val="right"/>
              <w:rPr>
                <w:sz w:val="20"/>
                <w:szCs w:val="20"/>
                <w:lang w:val="en-GB"/>
              </w:rPr>
            </w:pPr>
            <w:r w:rsidRPr="00EE1989">
              <w:rPr>
                <w:sz w:val="20"/>
                <w:szCs w:val="20"/>
                <w:lang w:val="en-GB"/>
              </w:rPr>
              <w:t>26.914</w:t>
            </w:r>
          </w:p>
        </w:tc>
        <w:tc>
          <w:tcPr>
            <w:tcW w:w="1418" w:type="dxa"/>
            <w:vAlign w:val="center"/>
          </w:tcPr>
          <w:p w:rsidR="00EC7A51" w:rsidRPr="00EE1989" w:rsidRDefault="00EC7A51" w:rsidP="00EE1989">
            <w:pPr>
              <w:spacing w:after="0" w:line="240" w:lineRule="auto"/>
              <w:ind w:right="249"/>
              <w:jc w:val="right"/>
              <w:rPr>
                <w:sz w:val="20"/>
                <w:szCs w:val="20"/>
                <w:lang w:val="en-GB"/>
              </w:rPr>
            </w:pPr>
            <w:r w:rsidRPr="00EE1989">
              <w:rPr>
                <w:sz w:val="20"/>
                <w:szCs w:val="20"/>
                <w:lang w:val="en-GB"/>
              </w:rPr>
              <w:t>21.136</w:t>
            </w:r>
          </w:p>
        </w:tc>
        <w:tc>
          <w:tcPr>
            <w:tcW w:w="1418" w:type="dxa"/>
            <w:vAlign w:val="center"/>
          </w:tcPr>
          <w:p w:rsidR="00EC7A51" w:rsidRPr="00EE1989" w:rsidRDefault="00EC7A51" w:rsidP="00EE1989">
            <w:pPr>
              <w:spacing w:after="0" w:line="240" w:lineRule="auto"/>
              <w:ind w:right="164"/>
              <w:jc w:val="right"/>
              <w:rPr>
                <w:sz w:val="20"/>
                <w:szCs w:val="20"/>
                <w:lang w:val="en-GB"/>
              </w:rPr>
            </w:pPr>
            <w:r w:rsidRPr="00EE1989">
              <w:rPr>
                <w:sz w:val="20"/>
                <w:szCs w:val="20"/>
                <w:lang w:val="en-GB"/>
              </w:rPr>
              <w:t>23.876</w:t>
            </w:r>
          </w:p>
        </w:tc>
        <w:tc>
          <w:tcPr>
            <w:tcW w:w="1418" w:type="dxa"/>
            <w:vAlign w:val="center"/>
          </w:tcPr>
          <w:p w:rsidR="00EC7A51" w:rsidRPr="00EE1989" w:rsidRDefault="00EC7A51" w:rsidP="00EE1989">
            <w:pPr>
              <w:spacing w:after="0" w:line="240" w:lineRule="auto"/>
              <w:ind w:right="260"/>
              <w:jc w:val="right"/>
              <w:rPr>
                <w:sz w:val="20"/>
                <w:szCs w:val="20"/>
                <w:lang w:val="en-GB"/>
              </w:rPr>
            </w:pPr>
            <w:r w:rsidRPr="00EE1989">
              <w:rPr>
                <w:sz w:val="20"/>
                <w:szCs w:val="20"/>
                <w:lang w:val="en-GB"/>
              </w:rPr>
              <w:t>28.478</w:t>
            </w:r>
          </w:p>
        </w:tc>
        <w:tc>
          <w:tcPr>
            <w:tcW w:w="1418" w:type="dxa"/>
            <w:vAlign w:val="center"/>
          </w:tcPr>
          <w:p w:rsidR="00EC7A51" w:rsidRPr="00EE1989" w:rsidRDefault="00EC7A51" w:rsidP="00EE1989">
            <w:pPr>
              <w:spacing w:after="0" w:line="240" w:lineRule="auto"/>
              <w:ind w:right="176"/>
              <w:jc w:val="right"/>
              <w:rPr>
                <w:sz w:val="20"/>
                <w:szCs w:val="20"/>
                <w:lang w:val="en-GB"/>
              </w:rPr>
            </w:pPr>
            <w:r w:rsidRPr="00EE1989">
              <w:rPr>
                <w:sz w:val="20"/>
                <w:szCs w:val="20"/>
                <w:lang w:val="en-GB"/>
              </w:rPr>
              <w:t>26.686</w:t>
            </w:r>
          </w:p>
        </w:tc>
      </w:tr>
    </w:tbl>
    <w:p w:rsidR="00016FE2" w:rsidRDefault="002824CE" w:rsidP="007E5F68">
      <w:pPr>
        <w:spacing w:after="0" w:line="240" w:lineRule="auto"/>
        <w:jc w:val="both"/>
      </w:pPr>
      <w:r>
        <w:t>...........................</w:t>
      </w:r>
    </w:p>
    <w:p w:rsidR="002824CE" w:rsidRPr="002824CE" w:rsidRDefault="002824CE" w:rsidP="002824CE">
      <w:pPr>
        <w:autoSpaceDE w:val="0"/>
        <w:autoSpaceDN w:val="0"/>
        <w:adjustRightInd w:val="0"/>
        <w:spacing w:after="0" w:line="240" w:lineRule="auto"/>
        <w:jc w:val="both"/>
        <w:rPr>
          <w:b/>
          <w:lang w:val="en-GB"/>
        </w:rPr>
      </w:pPr>
      <w:r w:rsidRPr="002824CE">
        <w:rPr>
          <w:b/>
          <w:lang w:val="en-GB"/>
        </w:rPr>
        <w:t xml:space="preserve">ACKNOWLEDGEMENTS: </w:t>
      </w:r>
    </w:p>
    <w:p w:rsidR="002824CE" w:rsidRPr="002824CE" w:rsidRDefault="002824CE" w:rsidP="002824CE">
      <w:pPr>
        <w:autoSpaceDE w:val="0"/>
        <w:autoSpaceDN w:val="0"/>
        <w:adjustRightInd w:val="0"/>
        <w:spacing w:after="0" w:line="240" w:lineRule="auto"/>
        <w:jc w:val="both"/>
        <w:rPr>
          <w:lang w:val="en-GB"/>
        </w:rPr>
      </w:pPr>
      <w:r w:rsidRPr="002824CE">
        <w:rPr>
          <w:lang w:val="en-GB"/>
        </w:rPr>
        <w:t xml:space="preserve">The present work is supported by EC through 6FP NoE ACCENT (GOCE-CT-2002-500337), IP QUANTIFY (GOGE-003893), SEE-GRID-SCI project, contract </w:t>
      </w:r>
      <w:r w:rsidRPr="002824CE">
        <w:rPr>
          <w:color w:val="000000"/>
          <w:lang w:val="en-GB"/>
        </w:rPr>
        <w:t>№</w:t>
      </w:r>
      <w:r w:rsidRPr="002824CE">
        <w:rPr>
          <w:lang w:val="en-GB"/>
        </w:rPr>
        <w:t xml:space="preserve"> FP7 –RI-211338, COST Action 728, as well as by the Bulgarian National Science Fund (g</w:t>
      </w:r>
      <w:r w:rsidRPr="002824CE">
        <w:rPr>
          <w:color w:val="000000"/>
          <w:lang w:val="en-GB"/>
        </w:rPr>
        <w:t>rants № Д002-161/16.12.2008 and Д002-</w:t>
      </w:r>
      <w:r w:rsidRPr="002824CE">
        <w:rPr>
          <w:lang w:val="en-GB"/>
        </w:rPr>
        <w:t xml:space="preserve">146/2008). </w:t>
      </w:r>
    </w:p>
    <w:p w:rsidR="002824CE" w:rsidRPr="002824CE" w:rsidRDefault="002824CE" w:rsidP="002824CE">
      <w:pPr>
        <w:spacing w:after="0" w:line="240" w:lineRule="auto"/>
        <w:jc w:val="both"/>
        <w:rPr>
          <w:lang w:val="en-GB"/>
        </w:rPr>
      </w:pPr>
      <w:r w:rsidRPr="002824CE">
        <w:rPr>
          <w:lang w:val="en-GB"/>
        </w:rPr>
        <w:t xml:space="preserve">Deep gratitude is due to US EPA, US NCEP and EMEP for providing free-of-charge data and software. Special thanks to the Netherlands Organization for Applied Scientific research (TNO) for providing us with the high-resolution European anthropogenic emission inventory. </w:t>
      </w:r>
    </w:p>
    <w:p w:rsidR="00512BE4" w:rsidRDefault="00512BE4" w:rsidP="002824CE">
      <w:pPr>
        <w:spacing w:after="0" w:line="240" w:lineRule="auto"/>
        <w:jc w:val="both"/>
        <w:rPr>
          <w:b/>
          <w:caps/>
          <w:lang w:val="en-GB"/>
        </w:rPr>
      </w:pPr>
    </w:p>
    <w:p w:rsidR="00512BE4" w:rsidRDefault="00512BE4" w:rsidP="002824CE">
      <w:pPr>
        <w:spacing w:after="0" w:line="240" w:lineRule="auto"/>
        <w:jc w:val="both"/>
        <w:rPr>
          <w:b/>
          <w:caps/>
          <w:lang w:val="en-GB"/>
        </w:rPr>
      </w:pPr>
    </w:p>
    <w:p w:rsidR="00512BE4" w:rsidRDefault="00512BE4" w:rsidP="002824CE">
      <w:pPr>
        <w:spacing w:after="0" w:line="240" w:lineRule="auto"/>
        <w:jc w:val="both"/>
        <w:rPr>
          <w:b/>
          <w:caps/>
          <w:lang w:val="en-GB"/>
        </w:rPr>
      </w:pPr>
    </w:p>
    <w:p w:rsidR="00512BE4" w:rsidRDefault="00512BE4" w:rsidP="002824CE">
      <w:pPr>
        <w:spacing w:after="0" w:line="240" w:lineRule="auto"/>
        <w:jc w:val="both"/>
        <w:rPr>
          <w:b/>
          <w:caps/>
          <w:lang w:val="en-GB"/>
        </w:rPr>
      </w:pPr>
    </w:p>
    <w:p w:rsidR="002824CE" w:rsidRPr="002824CE" w:rsidRDefault="002824CE" w:rsidP="002824CE">
      <w:pPr>
        <w:spacing w:after="0" w:line="240" w:lineRule="auto"/>
        <w:jc w:val="both"/>
        <w:rPr>
          <w:b/>
          <w:caps/>
          <w:lang w:val="en-GB"/>
        </w:rPr>
      </w:pPr>
      <w:r w:rsidRPr="002824CE">
        <w:rPr>
          <w:b/>
          <w:caps/>
          <w:lang w:val="en-GB"/>
        </w:rPr>
        <w:t>References</w:t>
      </w:r>
    </w:p>
    <w:p w:rsidR="002824CE" w:rsidRPr="008B1A27" w:rsidRDefault="002824CE" w:rsidP="002824CE">
      <w:pPr>
        <w:autoSpaceDE w:val="0"/>
        <w:autoSpaceDN w:val="0"/>
        <w:adjustRightInd w:val="0"/>
        <w:spacing w:after="0" w:line="240" w:lineRule="auto"/>
        <w:ind w:left="284"/>
        <w:jc w:val="both"/>
        <w:rPr>
          <w:color w:val="000000"/>
          <w:lang w:val="en-GB"/>
        </w:rPr>
      </w:pPr>
      <w:r w:rsidRPr="008B1A27">
        <w:rPr>
          <w:lang w:val="en-GB"/>
        </w:rPr>
        <w:lastRenderedPageBreak/>
        <w:t>1. Byun</w:t>
      </w:r>
      <w:r w:rsidRPr="008B1A27">
        <w:rPr>
          <w:color w:val="000000"/>
          <w:lang w:val="en-GB"/>
        </w:rPr>
        <w:t>, D., Ching, J. (1999) Science Algorithms</w:t>
      </w:r>
      <w:r w:rsidRPr="008B1A27">
        <w:rPr>
          <w:iCs w:val="0"/>
          <w:color w:val="000000"/>
          <w:lang w:val="en-GB"/>
        </w:rPr>
        <w:t xml:space="preserve"> of the EPA Models-3 Community Multiscale Air Quality (CMAQ) Modeling Syste</w:t>
      </w:r>
      <w:r w:rsidRPr="008B1A27">
        <w:rPr>
          <w:color w:val="000000"/>
          <w:lang w:val="en-GB"/>
        </w:rPr>
        <w:t>m. EPA Report 600/R-99/030, Washington DC.</w:t>
      </w:r>
      <w:r w:rsidRPr="008B1A27">
        <w:rPr>
          <w:lang w:val="en-GB"/>
        </w:rPr>
        <w:t xml:space="preserve"> </w:t>
      </w:r>
      <w:hyperlink r:id="rId10" w:history="1">
        <w:r w:rsidRPr="008B1A27">
          <w:rPr>
            <w:rStyle w:val="Hyperlink"/>
            <w:lang w:val="en-GB"/>
          </w:rPr>
          <w:t>http://www.epa.gov/asmdnerl/models3/doc/science/science.html</w:t>
        </w:r>
      </w:hyperlink>
      <w:r w:rsidRPr="008B1A27">
        <w:rPr>
          <w:color w:val="000000"/>
          <w:lang w:val="en-GB"/>
        </w:rPr>
        <w:t>.</w:t>
      </w:r>
    </w:p>
    <w:p w:rsidR="002824CE" w:rsidRPr="008B1A27" w:rsidRDefault="002824CE" w:rsidP="002824CE">
      <w:pPr>
        <w:autoSpaceDE w:val="0"/>
        <w:autoSpaceDN w:val="0"/>
        <w:adjustRightInd w:val="0"/>
        <w:spacing w:after="0" w:line="240" w:lineRule="auto"/>
        <w:ind w:left="284"/>
        <w:jc w:val="both"/>
        <w:rPr>
          <w:iCs w:val="0"/>
          <w:color w:val="000000"/>
          <w:lang w:val="en-GB"/>
        </w:rPr>
      </w:pPr>
      <w:r w:rsidRPr="008B1A27">
        <w:rPr>
          <w:lang w:val="en-GB"/>
        </w:rPr>
        <w:t>2. Byun</w:t>
      </w:r>
      <w:r w:rsidRPr="008B1A27">
        <w:rPr>
          <w:color w:val="000000"/>
          <w:lang w:val="en-GB"/>
        </w:rPr>
        <w:t xml:space="preserve">, D., J. Young, G. Gipson, J. Godowitch, F.S. Binkowski, S. Roselle, B. Benjey, J. Pleim, J. Ching, J. Novak, C. Coats, T. Odman, A. Hanna, K. Alapaty, R. Mathur, J. McHenry, U. Shankar, S. Fine, A. Xiu, and C. Jang, (1998) </w:t>
      </w:r>
      <w:r w:rsidRPr="008B1A27">
        <w:rPr>
          <w:iCs w:val="0"/>
          <w:color w:val="000000"/>
          <w:lang w:val="en-GB"/>
        </w:rPr>
        <w:t>Description of the Models-3 Community Multiscale Air Quality (CMAQ) Modeling Syste</w:t>
      </w:r>
      <w:r w:rsidRPr="008B1A27">
        <w:rPr>
          <w:color w:val="000000"/>
          <w:lang w:val="en-GB"/>
        </w:rPr>
        <w:t>m, 10th Joint Conference on the Applications of Air Pollution Meteorology with the A&amp;WMA, 11-16 January 1998, Phoenix, Arizona, pp. 264-268.</w:t>
      </w:r>
    </w:p>
    <w:p w:rsidR="002824CE" w:rsidRPr="008B1A27" w:rsidRDefault="002824CE" w:rsidP="002824CE">
      <w:pPr>
        <w:spacing w:after="0" w:line="240" w:lineRule="auto"/>
        <w:ind w:left="284"/>
        <w:jc w:val="both"/>
        <w:rPr>
          <w:lang w:val="en-GB"/>
        </w:rPr>
      </w:pPr>
      <w:r w:rsidRPr="008B1A27">
        <w:rPr>
          <w:lang w:val="en-GB"/>
        </w:rPr>
        <w:t>3. CEP (2003) Sparse Matrix Operator Kernel Emission (SMOKE) Modeling System, University of Carolina, Carolina Environmental Programs, Research Triangle Park, North Carolina.</w:t>
      </w:r>
    </w:p>
    <w:p w:rsidR="002824CE" w:rsidRPr="008B1A27" w:rsidRDefault="002824CE" w:rsidP="002824CE">
      <w:pPr>
        <w:autoSpaceDE w:val="0"/>
        <w:autoSpaceDN w:val="0"/>
        <w:adjustRightInd w:val="0"/>
        <w:spacing w:after="0" w:line="240" w:lineRule="auto"/>
        <w:ind w:left="284"/>
        <w:jc w:val="both"/>
        <w:rPr>
          <w:lang w:val="en-GB"/>
        </w:rPr>
      </w:pPr>
      <w:r w:rsidRPr="008B1A27">
        <w:rPr>
          <w:lang w:val="en-GB"/>
        </w:rPr>
        <w:t xml:space="preserve">4. Dudhia, J. (1993) A non-hydrostatic version of the Penn State/NCAR Mesoscale Model: validation tests and simulation of an Atlantic cyclone and cold front. </w:t>
      </w:r>
      <w:r w:rsidRPr="008B1A27">
        <w:rPr>
          <w:iCs w:val="0"/>
          <w:lang w:val="en-GB"/>
        </w:rPr>
        <w:t>Mon. Wea. Rev</w:t>
      </w:r>
      <w:r w:rsidRPr="008B1A27">
        <w:rPr>
          <w:lang w:val="en-GB"/>
        </w:rPr>
        <w:t xml:space="preserve">. </w:t>
      </w:r>
      <w:r w:rsidRPr="008B1A27">
        <w:rPr>
          <w:b/>
          <w:bCs/>
          <w:lang w:val="en-GB"/>
        </w:rPr>
        <w:t>121</w:t>
      </w:r>
      <w:r w:rsidRPr="008B1A27">
        <w:rPr>
          <w:lang w:val="en-GB"/>
        </w:rPr>
        <w:t>, pp.1493-1513.</w:t>
      </w:r>
    </w:p>
    <w:p w:rsidR="002824CE" w:rsidRPr="008B1A27" w:rsidRDefault="002824CE" w:rsidP="002824CE">
      <w:pPr>
        <w:spacing w:after="0" w:line="240" w:lineRule="auto"/>
        <w:ind w:left="284"/>
        <w:jc w:val="both"/>
        <w:rPr>
          <w:lang w:val="en-GB"/>
        </w:rPr>
      </w:pPr>
      <w:r w:rsidRPr="008B1A27">
        <w:rPr>
          <w:lang w:val="en-GB"/>
        </w:rPr>
        <w:t>5. EC (1998) Amended draft of the daughter directive for ozone, Directorate XI – Environment, Nuclear Safety and Civil Protection, European Commission, Brussels.</w:t>
      </w:r>
    </w:p>
    <w:p w:rsidR="002824CE" w:rsidRPr="008B1A27" w:rsidRDefault="002824CE" w:rsidP="002824CE">
      <w:pPr>
        <w:spacing w:after="0" w:line="240" w:lineRule="auto"/>
        <w:ind w:left="284"/>
        <w:jc w:val="both"/>
        <w:rPr>
          <w:lang w:val="en-GB"/>
        </w:rPr>
      </w:pPr>
      <w:r w:rsidRPr="008B1A27">
        <w:rPr>
          <w:lang w:val="en-GB"/>
        </w:rPr>
        <w:t xml:space="preserve">6. EC (1999) Ozone position paper, Directorate XI – Environment, Nuclear Safety and Civil Protection, European Commission, Brussels. </w:t>
      </w:r>
    </w:p>
    <w:p w:rsidR="002824CE" w:rsidRPr="008B1A27" w:rsidRDefault="002824CE" w:rsidP="002824CE">
      <w:pPr>
        <w:spacing w:after="0" w:line="240" w:lineRule="auto"/>
        <w:ind w:left="284"/>
        <w:jc w:val="both"/>
        <w:rPr>
          <w:lang w:val="en-GB"/>
        </w:rPr>
      </w:pPr>
      <w:r w:rsidRPr="008B1A27">
        <w:t>7</w:t>
      </w:r>
      <w:r w:rsidRPr="008B1A27">
        <w:rPr>
          <w:lang w:val="en-GB"/>
        </w:rPr>
        <w:t xml:space="preserve">. Ganev K., Prodanova M., Syrakov D. and Miloshev N , (2008a): </w:t>
      </w:r>
      <w:r w:rsidRPr="008B1A27">
        <w:rPr>
          <w:bCs/>
          <w:lang w:val="en-GB"/>
        </w:rPr>
        <w:t xml:space="preserve">Air pollution transport in the Balkan region and country-to-country pollution exchange between Romania, Bulgaria and Greece, </w:t>
      </w:r>
      <w:r w:rsidRPr="008B1A27">
        <w:rPr>
          <w:lang w:val="en-GB"/>
        </w:rPr>
        <w:t>Ecological Modelling, 217, pp. 255–269</w:t>
      </w:r>
    </w:p>
    <w:p w:rsidR="002824CE" w:rsidRPr="008B1A27" w:rsidRDefault="002824CE" w:rsidP="002824CE">
      <w:pPr>
        <w:pStyle w:val="NormalWeb"/>
        <w:spacing w:before="120" w:beforeAutospacing="0" w:after="0" w:afterAutospacing="0"/>
        <w:ind w:left="284"/>
        <w:jc w:val="both"/>
        <w:rPr>
          <w:sz w:val="22"/>
          <w:szCs w:val="22"/>
        </w:rPr>
      </w:pPr>
      <w:r w:rsidRPr="008B1A27">
        <w:rPr>
          <w:sz w:val="22"/>
          <w:szCs w:val="22"/>
          <w:lang w:val="en-GB"/>
        </w:rPr>
        <w:t>8. Ganev</w:t>
      </w:r>
      <w:r w:rsidRPr="008B1A27">
        <w:rPr>
          <w:sz w:val="22"/>
          <w:szCs w:val="22"/>
        </w:rPr>
        <w:t xml:space="preserve"> </w:t>
      </w:r>
      <w:r w:rsidRPr="008B1A27">
        <w:rPr>
          <w:sz w:val="22"/>
          <w:szCs w:val="22"/>
          <w:lang w:val="en-GB"/>
        </w:rPr>
        <w:t>K</w:t>
      </w:r>
      <w:r w:rsidRPr="008B1A27">
        <w:rPr>
          <w:sz w:val="22"/>
          <w:szCs w:val="22"/>
        </w:rPr>
        <w:t xml:space="preserve">., </w:t>
      </w:r>
      <w:r w:rsidRPr="008B1A27">
        <w:rPr>
          <w:sz w:val="22"/>
          <w:szCs w:val="22"/>
          <w:lang w:val="en-GB"/>
        </w:rPr>
        <w:t>Miloshev N.</w:t>
      </w:r>
      <w:r w:rsidRPr="008B1A27">
        <w:rPr>
          <w:sz w:val="22"/>
          <w:szCs w:val="22"/>
        </w:rPr>
        <w:t xml:space="preserve">, </w:t>
      </w:r>
      <w:r w:rsidRPr="008B1A27">
        <w:rPr>
          <w:sz w:val="22"/>
          <w:szCs w:val="22"/>
          <w:lang w:val="en-GB"/>
        </w:rPr>
        <w:t>Prodanova M.</w:t>
      </w:r>
      <w:r w:rsidRPr="008B1A27">
        <w:rPr>
          <w:sz w:val="22"/>
          <w:szCs w:val="22"/>
        </w:rPr>
        <w:t xml:space="preserve">, </w:t>
      </w:r>
      <w:r w:rsidRPr="008B1A27">
        <w:rPr>
          <w:sz w:val="22"/>
          <w:szCs w:val="22"/>
          <w:lang w:val="en-GB"/>
        </w:rPr>
        <w:t>Syrakov D. and</w:t>
      </w:r>
      <w:r w:rsidRPr="008B1A27">
        <w:rPr>
          <w:sz w:val="22"/>
          <w:szCs w:val="22"/>
        </w:rPr>
        <w:t xml:space="preserve"> Slavov</w:t>
      </w:r>
      <w:r w:rsidRPr="008B1A27">
        <w:rPr>
          <w:sz w:val="22"/>
          <w:szCs w:val="22"/>
          <w:lang w:val="en-US"/>
        </w:rPr>
        <w:t xml:space="preserve"> K.</w:t>
      </w:r>
      <w:r w:rsidRPr="008B1A27">
        <w:rPr>
          <w:sz w:val="22"/>
          <w:szCs w:val="22"/>
        </w:rPr>
        <w:t xml:space="preserve"> </w:t>
      </w:r>
      <w:r w:rsidRPr="008B1A27">
        <w:rPr>
          <w:sz w:val="22"/>
          <w:szCs w:val="22"/>
          <w:lang w:val="en-US"/>
        </w:rPr>
        <w:t>(</w:t>
      </w:r>
      <w:r w:rsidRPr="008B1A27">
        <w:rPr>
          <w:sz w:val="22"/>
          <w:szCs w:val="22"/>
        </w:rPr>
        <w:t>2008</w:t>
      </w:r>
      <w:r w:rsidRPr="008B1A27">
        <w:rPr>
          <w:sz w:val="22"/>
          <w:szCs w:val="22"/>
          <w:lang w:val="en-GB"/>
        </w:rPr>
        <w:t>b</w:t>
      </w:r>
      <w:r w:rsidRPr="008B1A27">
        <w:rPr>
          <w:sz w:val="22"/>
          <w:szCs w:val="22"/>
          <w:lang w:val="en-US"/>
        </w:rPr>
        <w:t>):</w:t>
      </w:r>
      <w:r w:rsidRPr="008B1A27">
        <w:rPr>
          <w:sz w:val="22"/>
          <w:szCs w:val="22"/>
        </w:rPr>
        <w:t xml:space="preserve"> Sencitivity analysis of MM5/CMAQ modeling system for ozone formation in Southeast Europe, 17 </w:t>
      </w:r>
      <w:r w:rsidRPr="008B1A27">
        <w:rPr>
          <w:sz w:val="22"/>
          <w:szCs w:val="22"/>
          <w:vertAlign w:val="superscript"/>
          <w:lang w:val="en-US"/>
        </w:rPr>
        <w:t>th</w:t>
      </w:r>
      <w:r w:rsidRPr="008B1A27">
        <w:rPr>
          <w:sz w:val="22"/>
          <w:szCs w:val="22"/>
        </w:rPr>
        <w:t xml:space="preserve"> </w:t>
      </w:r>
      <w:r w:rsidRPr="008B1A27">
        <w:rPr>
          <w:sz w:val="22"/>
          <w:szCs w:val="22"/>
          <w:lang w:val="en-US"/>
        </w:rPr>
        <w:t>International</w:t>
      </w:r>
      <w:r w:rsidRPr="008B1A27">
        <w:rPr>
          <w:sz w:val="22"/>
          <w:szCs w:val="22"/>
        </w:rPr>
        <w:t xml:space="preserve"> </w:t>
      </w:r>
      <w:r w:rsidRPr="008B1A27">
        <w:rPr>
          <w:sz w:val="22"/>
          <w:szCs w:val="22"/>
          <w:lang w:val="en-US"/>
        </w:rPr>
        <w:t>Symposium</w:t>
      </w:r>
      <w:r w:rsidRPr="008B1A27">
        <w:rPr>
          <w:sz w:val="22"/>
          <w:szCs w:val="22"/>
        </w:rPr>
        <w:t xml:space="preserve"> </w:t>
      </w:r>
      <w:r w:rsidRPr="008B1A27">
        <w:rPr>
          <w:bCs/>
          <w:sz w:val="22"/>
          <w:szCs w:val="22"/>
          <w:lang w:val="en-US"/>
        </w:rPr>
        <w:t>ECOLOGY</w:t>
      </w:r>
      <w:r w:rsidRPr="008B1A27">
        <w:rPr>
          <w:bCs/>
          <w:sz w:val="22"/>
          <w:szCs w:val="22"/>
        </w:rPr>
        <w:t xml:space="preserve"> &amp; </w:t>
      </w:r>
      <w:r w:rsidRPr="008B1A27">
        <w:rPr>
          <w:bCs/>
          <w:sz w:val="22"/>
          <w:szCs w:val="22"/>
          <w:lang w:val="en-US"/>
        </w:rPr>
        <w:t>SAFETY</w:t>
      </w:r>
      <w:r w:rsidRPr="008B1A27">
        <w:rPr>
          <w:b/>
          <w:bCs/>
          <w:sz w:val="22"/>
          <w:szCs w:val="22"/>
        </w:rPr>
        <w:t xml:space="preserve">, </w:t>
      </w:r>
      <w:r w:rsidRPr="008B1A27">
        <w:rPr>
          <w:sz w:val="22"/>
          <w:szCs w:val="22"/>
          <w:lang w:val="en-US"/>
        </w:rPr>
        <w:t>June</w:t>
      </w:r>
      <w:r w:rsidRPr="008B1A27">
        <w:rPr>
          <w:sz w:val="22"/>
          <w:szCs w:val="22"/>
        </w:rPr>
        <w:t xml:space="preserve"> 9 - 13, 2008, </w:t>
      </w:r>
      <w:r w:rsidRPr="008B1A27">
        <w:rPr>
          <w:sz w:val="22"/>
          <w:szCs w:val="22"/>
          <w:lang w:val="en-US"/>
        </w:rPr>
        <w:t>Sunny</w:t>
      </w:r>
      <w:r w:rsidRPr="008B1A27">
        <w:rPr>
          <w:sz w:val="22"/>
          <w:szCs w:val="22"/>
        </w:rPr>
        <w:t xml:space="preserve"> </w:t>
      </w:r>
      <w:r w:rsidRPr="008B1A27">
        <w:rPr>
          <w:sz w:val="22"/>
          <w:szCs w:val="22"/>
          <w:lang w:val="en-US"/>
        </w:rPr>
        <w:t>Beach</w:t>
      </w:r>
      <w:r w:rsidRPr="008B1A27">
        <w:rPr>
          <w:sz w:val="22"/>
          <w:szCs w:val="22"/>
        </w:rPr>
        <w:t xml:space="preserve"> </w:t>
      </w:r>
      <w:r w:rsidRPr="008B1A27">
        <w:rPr>
          <w:sz w:val="22"/>
          <w:szCs w:val="22"/>
          <w:lang w:val="en-US"/>
        </w:rPr>
        <w:t xml:space="preserve">resort </w:t>
      </w:r>
    </w:p>
    <w:p w:rsidR="002824CE" w:rsidRPr="008B1A27" w:rsidRDefault="002824CE" w:rsidP="002824CE">
      <w:pPr>
        <w:autoSpaceDE w:val="0"/>
        <w:autoSpaceDN w:val="0"/>
        <w:adjustRightInd w:val="0"/>
        <w:spacing w:after="0" w:line="240" w:lineRule="auto"/>
        <w:ind w:left="284"/>
        <w:jc w:val="both"/>
        <w:rPr>
          <w:lang w:val="en-GB"/>
        </w:rPr>
      </w:pPr>
      <w:r w:rsidRPr="008B1A27">
        <w:rPr>
          <w:lang w:val="en-GB"/>
        </w:rPr>
        <w:t xml:space="preserve">9. Grell, G.A., Dudhia J., and Stauffer D.R. (1994) A description of the Fifth Generation Penn State/NCAR Mesoscale Model (MM5). NCAR Technical Note, NCAR TN-398-STR, 138 pp. </w:t>
      </w:r>
    </w:p>
    <w:p w:rsidR="002824CE" w:rsidRPr="008B1A27" w:rsidRDefault="002824CE" w:rsidP="002824CE">
      <w:pPr>
        <w:autoSpaceDE w:val="0"/>
        <w:autoSpaceDN w:val="0"/>
        <w:adjustRightInd w:val="0"/>
        <w:spacing w:after="0" w:line="240" w:lineRule="auto"/>
        <w:ind w:left="284"/>
        <w:jc w:val="both"/>
        <w:rPr>
          <w:iCs w:val="0"/>
          <w:lang w:val="en-GB"/>
        </w:rPr>
      </w:pPr>
      <w:r w:rsidRPr="008B1A27">
        <w:rPr>
          <w:iCs w:val="0"/>
          <w:lang w:val="en-GB"/>
        </w:rPr>
        <w:t>19. Luhar, A. K. (2002): The influence of vertical wind direction shear on dispersion in the convective boundary layer, and its incorporation in coastal fumigation models, Boundary-Layer Meteorology, 102, pp. 1–38</w:t>
      </w:r>
    </w:p>
    <w:p w:rsidR="002824CE" w:rsidRPr="008B1A27" w:rsidRDefault="002824CE" w:rsidP="002824CE">
      <w:pPr>
        <w:autoSpaceDE w:val="0"/>
        <w:autoSpaceDN w:val="0"/>
        <w:adjustRightInd w:val="0"/>
        <w:spacing w:after="0" w:line="240" w:lineRule="auto"/>
        <w:ind w:left="284"/>
        <w:jc w:val="both"/>
        <w:rPr>
          <w:iCs w:val="0"/>
          <w:lang w:val="en-GB"/>
        </w:rPr>
      </w:pPr>
      <w:r w:rsidRPr="008B1A27">
        <w:rPr>
          <w:iCs w:val="0"/>
          <w:lang w:val="en-GB"/>
        </w:rPr>
        <w:t>11. Luhar, A. K. and Young, S. A. (2002) Dispersion moments of fumigating plumes-LIDAR estimates and model simulations. Boundary-Layer Meteorology, 104 (3), pp. 411–444.</w:t>
      </w:r>
    </w:p>
    <w:p w:rsidR="002824CE" w:rsidRPr="008B1A27" w:rsidRDefault="002824CE" w:rsidP="002824CE">
      <w:pPr>
        <w:autoSpaceDE w:val="0"/>
        <w:autoSpaceDN w:val="0"/>
        <w:adjustRightInd w:val="0"/>
        <w:spacing w:after="0" w:line="240" w:lineRule="auto"/>
        <w:ind w:left="284"/>
        <w:jc w:val="both"/>
        <w:rPr>
          <w:iCs w:val="0"/>
          <w:lang w:val="en-GB"/>
        </w:rPr>
      </w:pPr>
      <w:r w:rsidRPr="008B1A27">
        <w:rPr>
          <w:iCs w:val="0"/>
          <w:lang w:val="en-GB"/>
        </w:rPr>
        <w:t>12. NRC (2005): Tracking and Predicting the Atmospheric Dispersion of Hazardous Material Releases, National Research Council of the National Academies, Committee on the Atmospheric Dispersion of Hazardous Material Releases, The National Academies Press (2005)</w:t>
      </w:r>
    </w:p>
    <w:p w:rsidR="002824CE" w:rsidRPr="008B1A27" w:rsidRDefault="002824CE" w:rsidP="002824CE">
      <w:pPr>
        <w:autoSpaceDE w:val="0"/>
        <w:autoSpaceDN w:val="0"/>
        <w:adjustRightInd w:val="0"/>
        <w:spacing w:after="0" w:line="240" w:lineRule="auto"/>
        <w:ind w:left="284"/>
        <w:jc w:val="both"/>
        <w:rPr>
          <w:iCs w:val="0"/>
          <w:lang w:val="en-GB"/>
        </w:rPr>
      </w:pPr>
      <w:r w:rsidRPr="008B1A27">
        <w:rPr>
          <w:iCs w:val="0"/>
          <w:lang w:val="en-GB"/>
        </w:rPr>
        <w:t>13. Palau, J., Perez-Landa, G., Melia, J., Segarra, D. and Millan, M. (2005) A study of dispersion in complex terrain under winter conditions using high-resolution mesoscale and Lagrangian particle models, Atmospheric Chemistry and Physics Discussion, 5, pp. 11965–12030.</w:t>
      </w:r>
    </w:p>
    <w:p w:rsidR="002824CE" w:rsidRPr="008B1A27" w:rsidRDefault="002824CE" w:rsidP="008B1A27">
      <w:pPr>
        <w:spacing w:after="0" w:line="240" w:lineRule="auto"/>
        <w:ind w:left="284"/>
        <w:jc w:val="both"/>
        <w:rPr>
          <w:lang w:val="en-GB"/>
        </w:rPr>
      </w:pPr>
      <w:r w:rsidRPr="008B1A27">
        <w:rPr>
          <w:lang w:val="en-GB"/>
        </w:rPr>
        <w:t>14. Prodanova M., Pérez J., Syrakov D., San José R., Ganev K. and Miloshev N. (2006a) Exchange of Ozone Pollution between Romania, Bulgaria and Greece, Proc of the 26</w:t>
      </w:r>
      <w:r w:rsidRPr="008B1A27">
        <w:rPr>
          <w:vertAlign w:val="superscript"/>
          <w:lang w:val="en-GB"/>
        </w:rPr>
        <w:t>th</w:t>
      </w:r>
      <w:r w:rsidRPr="008B1A27">
        <w:rPr>
          <w:lang w:val="en-GB"/>
        </w:rPr>
        <w:t xml:space="preserve"> ITM on Air Pollution Modelling and Applications, May 13-19, 2006, Leipzig, Germany, pp. </w:t>
      </w:r>
      <w:r w:rsidRPr="008B1A27">
        <w:t>436-437</w:t>
      </w:r>
      <w:r w:rsidRPr="008B1A27">
        <w:rPr>
          <w:lang w:val="en-GB"/>
        </w:rPr>
        <w:t xml:space="preserve">. </w:t>
      </w:r>
      <w:r w:rsidRPr="008B1A27">
        <w:t xml:space="preserve"> </w:t>
      </w:r>
    </w:p>
    <w:sectPr w:rsidR="002824CE" w:rsidRPr="008B1A27" w:rsidSect="007826E9">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346" w:rsidRDefault="00575346" w:rsidP="00814C99">
      <w:pPr>
        <w:spacing w:before="0" w:after="0" w:line="240" w:lineRule="auto"/>
      </w:pPr>
      <w:r>
        <w:separator/>
      </w:r>
    </w:p>
  </w:endnote>
  <w:endnote w:type="continuationSeparator" w:id="1">
    <w:p w:rsidR="00575346" w:rsidRDefault="00575346" w:rsidP="00814C9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99" w:rsidRDefault="00814C99" w:rsidP="00814C99">
    <w:pPr>
      <w:pStyle w:val="Footer"/>
      <w:jc w:val="left"/>
    </w:pPr>
  </w:p>
  <w:p w:rsidR="00814C99" w:rsidRDefault="00814C99" w:rsidP="00814C99">
    <w:pPr>
      <w:pStyle w:val="Footer"/>
    </w:pPr>
  </w:p>
  <w:tbl>
    <w:tblPr>
      <w:tblW w:w="5000" w:type="pct"/>
      <w:tblBorders>
        <w:insideV w:val="single" w:sz="18" w:space="0" w:color="4F81BD"/>
      </w:tblBorders>
      <w:tblCellMar>
        <w:top w:w="58" w:type="dxa"/>
        <w:left w:w="115" w:type="dxa"/>
        <w:bottom w:w="58" w:type="dxa"/>
        <w:right w:w="115" w:type="dxa"/>
      </w:tblCellMar>
      <w:tblLook w:val="04A0"/>
    </w:tblPr>
    <w:tblGrid>
      <w:gridCol w:w="1395"/>
      <w:gridCol w:w="7905"/>
    </w:tblGrid>
    <w:tr w:rsidR="00814C99" w:rsidRPr="00814C99" w:rsidTr="00786DC1">
      <w:tc>
        <w:tcPr>
          <w:tcW w:w="750" w:type="pct"/>
        </w:tcPr>
        <w:p w:rsidR="00814C99" w:rsidRPr="00814C99" w:rsidRDefault="00814C99" w:rsidP="00786DC1">
          <w:pPr>
            <w:pStyle w:val="Footer"/>
            <w:jc w:val="right"/>
            <w:rPr>
              <w:rFonts w:ascii="Calibri" w:hAnsi="Calibri"/>
              <w:color w:val="4F81BD"/>
            </w:rPr>
          </w:pPr>
          <w:r w:rsidRPr="00814C99">
            <w:rPr>
              <w:rFonts w:ascii="Calibri" w:hAnsi="Calibri"/>
            </w:rPr>
            <w:fldChar w:fldCharType="begin"/>
          </w:r>
          <w:r w:rsidRPr="00814C99">
            <w:rPr>
              <w:rFonts w:ascii="Calibri" w:hAnsi="Calibri"/>
            </w:rPr>
            <w:instrText xml:space="preserve"> PAGE   \* MERGEFORMAT </w:instrText>
          </w:r>
          <w:r w:rsidRPr="00814C99">
            <w:rPr>
              <w:rFonts w:ascii="Calibri" w:hAnsi="Calibri"/>
            </w:rPr>
            <w:fldChar w:fldCharType="separate"/>
          </w:r>
          <w:r w:rsidR="000D102A" w:rsidRPr="000D102A">
            <w:rPr>
              <w:rFonts w:ascii="Calibri" w:hAnsi="Calibri"/>
              <w:noProof/>
              <w:color w:val="4F81BD"/>
            </w:rPr>
            <w:t>5</w:t>
          </w:r>
          <w:r w:rsidRPr="00814C99">
            <w:rPr>
              <w:rFonts w:ascii="Calibri" w:hAnsi="Calibri"/>
            </w:rPr>
            <w:fldChar w:fldCharType="end"/>
          </w:r>
        </w:p>
      </w:tc>
      <w:tc>
        <w:tcPr>
          <w:tcW w:w="4250" w:type="pct"/>
        </w:tcPr>
        <w:p w:rsidR="00814C99" w:rsidRPr="00ED2176" w:rsidRDefault="00814C99" w:rsidP="00786DC1">
          <w:pPr>
            <w:pStyle w:val="BodyTextIndent3"/>
            <w:spacing w:before="0" w:line="360" w:lineRule="auto"/>
            <w:ind w:firstLine="0"/>
            <w:jc w:val="left"/>
            <w:rPr>
              <w:rFonts w:ascii="Cambria" w:hAnsi="Cambria" w:cs="Arial"/>
              <w:b w:val="0"/>
              <w:bCs/>
              <w:color w:val="17365D"/>
              <w:sz w:val="20"/>
              <w:lang w:val="en-US"/>
            </w:rPr>
          </w:pPr>
          <w:r w:rsidRPr="00ED2176">
            <w:rPr>
              <w:rFonts w:ascii="Cambria" w:hAnsi="Cambria" w:cs="Arial"/>
              <w:b w:val="0"/>
              <w:bCs/>
              <w:color w:val="17365D"/>
              <w:sz w:val="20"/>
              <w:lang w:val="en-US"/>
            </w:rPr>
            <w:t xml:space="preserve">Publishing by </w:t>
          </w:r>
          <w:r>
            <w:rPr>
              <w:rFonts w:ascii="Cambria" w:hAnsi="Cambria" w:cs="Arial"/>
              <w:b w:val="0"/>
              <w:bCs/>
              <w:color w:val="17365D"/>
              <w:sz w:val="20"/>
              <w:lang w:val="en-US"/>
            </w:rPr>
            <w:t>Info Invest, Bulgaria,</w:t>
          </w:r>
          <w:r w:rsidRPr="00ED2176">
            <w:rPr>
              <w:rFonts w:ascii="Cambria" w:hAnsi="Cambria" w:cs="Arial"/>
              <w:b w:val="0"/>
              <w:bCs/>
              <w:color w:val="17365D"/>
              <w:sz w:val="20"/>
              <w:lang w:val="en-US"/>
            </w:rPr>
            <w:t xml:space="preserve"> www.science</w:t>
          </w:r>
          <w:r>
            <w:rPr>
              <w:rFonts w:ascii="Cambria" w:hAnsi="Cambria" w:cs="Arial"/>
              <w:b w:val="0"/>
              <w:bCs/>
              <w:color w:val="17365D"/>
              <w:sz w:val="20"/>
              <w:lang w:val="en-US"/>
            </w:rPr>
            <w:t>bg.net</w:t>
          </w:r>
        </w:p>
      </w:tc>
    </w:tr>
  </w:tbl>
  <w:p w:rsidR="00814C99" w:rsidRDefault="00814C99" w:rsidP="00814C99">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346" w:rsidRDefault="00575346" w:rsidP="00814C99">
      <w:pPr>
        <w:spacing w:before="0" w:after="0" w:line="240" w:lineRule="auto"/>
      </w:pPr>
      <w:r>
        <w:separator/>
      </w:r>
    </w:p>
  </w:footnote>
  <w:footnote w:type="continuationSeparator" w:id="1">
    <w:p w:rsidR="00575346" w:rsidRDefault="00575346" w:rsidP="00814C9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99" w:rsidRPr="00F36848" w:rsidRDefault="00814C99" w:rsidP="00814C99">
    <w:pPr>
      <w:rPr>
        <w:rFonts w:ascii="Cambria" w:hAnsi="Cambria" w:cs="Arial"/>
        <w:bCs/>
        <w:color w:val="17365D"/>
        <w:sz w:val="28"/>
        <w:szCs w:val="28"/>
      </w:rPr>
    </w:pPr>
    <w:r w:rsidRPr="00F36848">
      <w:rPr>
        <w:rFonts w:ascii="Cambria" w:hAnsi="Cambria" w:cs="Arial"/>
        <w:bCs/>
        <w:color w:val="17365D"/>
        <w:sz w:val="28"/>
        <w:szCs w:val="28"/>
      </w:rPr>
      <w:t xml:space="preserve">Journal of International </w:t>
    </w:r>
    <w:r>
      <w:rPr>
        <w:rFonts w:ascii="Cambria" w:hAnsi="Cambria" w:cs="Arial"/>
        <w:bCs/>
        <w:color w:val="17365D"/>
        <w:sz w:val="28"/>
        <w:szCs w:val="28"/>
      </w:rPr>
      <w:t>Scientific</w:t>
    </w:r>
    <w:r w:rsidRPr="00F36848">
      <w:rPr>
        <w:rFonts w:ascii="Cambria" w:hAnsi="Cambria" w:cs="Arial"/>
        <w:bCs/>
        <w:color w:val="17365D"/>
        <w:sz w:val="28"/>
        <w:szCs w:val="28"/>
      </w:rPr>
      <w:t xml:space="preserve"> Publication: </w:t>
    </w:r>
  </w:p>
  <w:p w:rsidR="00814C99" w:rsidRPr="00F36848" w:rsidRDefault="00814C99" w:rsidP="00814C99">
    <w:pPr>
      <w:rPr>
        <w:rFonts w:ascii="Cambria" w:hAnsi="Cambria" w:cs="Arial"/>
        <w:bCs/>
        <w:color w:val="17365D"/>
        <w:sz w:val="28"/>
        <w:szCs w:val="28"/>
      </w:rPr>
    </w:pPr>
    <w:r>
      <w:rPr>
        <w:rFonts w:ascii="Cambria" w:hAnsi="Cambria"/>
        <w:color w:val="17365D"/>
        <w:sz w:val="28"/>
        <w:szCs w:val="28"/>
      </w:rPr>
      <w:t>Ecology &amp; Safety, Volume 4</w:t>
    </w:r>
  </w:p>
  <w:p w:rsidR="00814C99" w:rsidRPr="00DF6DD9" w:rsidRDefault="00814C99" w:rsidP="00814C9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ambria" w:eastAsia="Times New Roman" w:hAnsi="Cambria" w:cs="Arial"/>
        <w:color w:val="00B050"/>
        <w:sz w:val="22"/>
        <w:szCs w:val="22"/>
      </w:rPr>
    </w:pPr>
    <w:r w:rsidRPr="008C3959">
      <w:rPr>
        <w:rFonts w:ascii="Cambria" w:hAnsi="Cambria" w:cs="Arial"/>
        <w:bCs/>
        <w:color w:val="00B050"/>
        <w:sz w:val="22"/>
        <w:szCs w:val="22"/>
      </w:rPr>
      <w:t>ISSN 1313-</w:t>
    </w:r>
    <w:r>
      <w:rPr>
        <w:rFonts w:ascii="Cambria" w:hAnsi="Cambria" w:cs="Arial"/>
        <w:bCs/>
        <w:color w:val="00B050"/>
        <w:sz w:val="22"/>
        <w:szCs w:val="22"/>
      </w:rPr>
      <w:t>2563</w:t>
    </w:r>
    <w:r w:rsidRPr="008C3959">
      <w:rPr>
        <w:rFonts w:ascii="Cambria" w:hAnsi="Cambria" w:cs="Arial"/>
        <w:bCs/>
        <w:color w:val="00B050"/>
        <w:sz w:val="22"/>
        <w:szCs w:val="22"/>
      </w:rPr>
      <w:t xml:space="preserve">, Published at: </w:t>
    </w:r>
    <w:r w:rsidRPr="00DF6DD9">
      <w:rPr>
        <w:rFonts w:ascii="Cambria" w:hAnsi="Cambria"/>
        <w:color w:val="00B050"/>
        <w:sz w:val="22"/>
        <w:szCs w:val="22"/>
      </w:rPr>
      <w:t>http://</w:t>
    </w:r>
    <w:r>
      <w:rPr>
        <w:rFonts w:ascii="Cambria" w:hAnsi="Cambria"/>
        <w:color w:val="00B050"/>
        <w:sz w:val="22"/>
        <w:szCs w:val="22"/>
      </w:rPr>
      <w:t>www.science-journals.eu</w:t>
    </w:r>
  </w:p>
  <w:p w:rsidR="00814C99" w:rsidRDefault="00814C99" w:rsidP="00814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80AD0"/>
    <w:multiLevelType w:val="hybridMultilevel"/>
    <w:tmpl w:val="00A4DA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68B2555E"/>
    <w:multiLevelType w:val="hybridMultilevel"/>
    <w:tmpl w:val="604E0340"/>
    <w:lvl w:ilvl="0" w:tplc="D49E6784">
      <w:start w:val="1"/>
      <w:numFmt w:val="bullet"/>
      <w:lvlText w:val=""/>
      <w:lvlJc w:val="left"/>
      <w:pPr>
        <w:tabs>
          <w:tab w:val="num" w:pos="20"/>
        </w:tabs>
        <w:ind w:left="377" w:hanging="1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575346"/>
    <w:rsid w:val="00016FE2"/>
    <w:rsid w:val="00077526"/>
    <w:rsid w:val="000D102A"/>
    <w:rsid w:val="001314F7"/>
    <w:rsid w:val="002824CE"/>
    <w:rsid w:val="003C4AF8"/>
    <w:rsid w:val="00512BE4"/>
    <w:rsid w:val="00575346"/>
    <w:rsid w:val="006E525C"/>
    <w:rsid w:val="007826E9"/>
    <w:rsid w:val="00786DC1"/>
    <w:rsid w:val="007E5F68"/>
    <w:rsid w:val="00814C99"/>
    <w:rsid w:val="008B1A27"/>
    <w:rsid w:val="00BD1C3E"/>
    <w:rsid w:val="00EC7A51"/>
    <w:rsid w:val="00EE198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F8"/>
    <w:pPr>
      <w:spacing w:before="120" w:after="200" w:line="276" w:lineRule="auto"/>
      <w:jc w:val="center"/>
    </w:pPr>
    <w:rPr>
      <w:iCs/>
      <w:sz w:val="22"/>
      <w:szCs w:val="22"/>
      <w:lang w:eastAsia="en-US"/>
    </w:rPr>
  </w:style>
  <w:style w:type="paragraph" w:styleId="Heading3">
    <w:name w:val="heading 3"/>
    <w:basedOn w:val="Normal"/>
    <w:next w:val="Normal"/>
    <w:link w:val="Heading3Char"/>
    <w:uiPriority w:val="9"/>
    <w:semiHidden/>
    <w:unhideWhenUsed/>
    <w:qFormat/>
    <w:rsid w:val="007E5F6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4C9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14C99"/>
  </w:style>
  <w:style w:type="paragraph" w:styleId="Footer">
    <w:name w:val="footer"/>
    <w:basedOn w:val="Normal"/>
    <w:link w:val="FooterChar"/>
    <w:unhideWhenUsed/>
    <w:rsid w:val="00814C99"/>
    <w:pPr>
      <w:tabs>
        <w:tab w:val="center" w:pos="4536"/>
        <w:tab w:val="right" w:pos="9072"/>
      </w:tabs>
      <w:spacing w:after="0" w:line="240" w:lineRule="auto"/>
    </w:pPr>
  </w:style>
  <w:style w:type="character" w:customStyle="1" w:styleId="FooterChar">
    <w:name w:val="Footer Char"/>
    <w:basedOn w:val="DefaultParagraphFont"/>
    <w:link w:val="Footer"/>
    <w:rsid w:val="00814C99"/>
  </w:style>
  <w:style w:type="paragraph" w:styleId="ListParagraph">
    <w:name w:val="List Paragraph"/>
    <w:basedOn w:val="Normal"/>
    <w:uiPriority w:val="34"/>
    <w:qFormat/>
    <w:rsid w:val="00814C99"/>
    <w:pPr>
      <w:ind w:left="720"/>
    </w:pPr>
    <w:rPr>
      <w:rFonts w:ascii="Calibri" w:hAnsi="Calibri"/>
      <w:sz w:val="24"/>
      <w:szCs w:val="24"/>
      <w:lang w:val="en-US"/>
    </w:rPr>
  </w:style>
  <w:style w:type="paragraph" w:styleId="BodyTextIndent3">
    <w:name w:val="Body Text Indent 3"/>
    <w:basedOn w:val="Normal"/>
    <w:link w:val="BodyTextIndent3Char"/>
    <w:rsid w:val="00814C99"/>
    <w:pPr>
      <w:spacing w:after="0" w:line="240" w:lineRule="auto"/>
      <w:ind w:firstLine="567"/>
    </w:pPr>
    <w:rPr>
      <w:rFonts w:eastAsia="Times New Roman"/>
      <w:b/>
      <w:szCs w:val="20"/>
    </w:rPr>
  </w:style>
  <w:style w:type="character" w:customStyle="1" w:styleId="BodyTextIndent3Char">
    <w:name w:val="Body Text Indent 3 Char"/>
    <w:basedOn w:val="DefaultParagraphFont"/>
    <w:link w:val="BodyTextIndent3"/>
    <w:rsid w:val="00814C99"/>
    <w:rPr>
      <w:rFonts w:ascii="Times New Roman" w:eastAsia="Times New Roman" w:hAnsi="Times New Roman" w:cs="Times New Roman"/>
      <w:b/>
      <w:szCs w:val="20"/>
    </w:rPr>
  </w:style>
  <w:style w:type="paragraph" w:styleId="Title">
    <w:name w:val="Title"/>
    <w:basedOn w:val="Normal"/>
    <w:link w:val="TitleChar"/>
    <w:qFormat/>
    <w:rsid w:val="007E5F68"/>
    <w:pPr>
      <w:spacing w:after="0" w:line="240" w:lineRule="auto"/>
    </w:pPr>
    <w:rPr>
      <w:rFonts w:eastAsia="Times New Roman"/>
      <w:b/>
      <w:bCs/>
      <w:szCs w:val="24"/>
    </w:rPr>
  </w:style>
  <w:style w:type="character" w:customStyle="1" w:styleId="TitleChar">
    <w:name w:val="Title Char"/>
    <w:basedOn w:val="DefaultParagraphFont"/>
    <w:link w:val="Title"/>
    <w:rsid w:val="007E5F68"/>
    <w:rPr>
      <w:rFonts w:eastAsia="Times New Roman"/>
      <w:b/>
      <w:bCs/>
      <w:szCs w:val="24"/>
      <w:lang w:eastAsia="en-US"/>
    </w:rPr>
  </w:style>
  <w:style w:type="character" w:styleId="Hyperlink">
    <w:name w:val="Hyperlink"/>
    <w:basedOn w:val="DefaultParagraphFont"/>
    <w:uiPriority w:val="99"/>
    <w:rsid w:val="007E5F68"/>
    <w:rPr>
      <w:color w:val="0000FF"/>
      <w:u w:val="single"/>
    </w:rPr>
  </w:style>
  <w:style w:type="paragraph" w:customStyle="1" w:styleId="Features">
    <w:name w:val="Features"/>
    <w:basedOn w:val="Heading3"/>
    <w:next w:val="Normal"/>
    <w:rsid w:val="007E5F68"/>
    <w:pPr>
      <w:spacing w:line="240" w:lineRule="auto"/>
    </w:pPr>
    <w:rPr>
      <w:rFonts w:ascii="Times New Roman" w:hAnsi="Times New Roman" w:cs="Arial"/>
      <w:i/>
      <w:iCs w:val="0"/>
      <w:sz w:val="24"/>
      <w:lang w:val="hr-HR" w:eastAsia="hr-HR"/>
    </w:rPr>
  </w:style>
  <w:style w:type="character" w:customStyle="1" w:styleId="Heading3Char">
    <w:name w:val="Heading 3 Char"/>
    <w:basedOn w:val="DefaultParagraphFont"/>
    <w:link w:val="Heading3"/>
    <w:uiPriority w:val="9"/>
    <w:semiHidden/>
    <w:rsid w:val="007E5F68"/>
    <w:rPr>
      <w:rFonts w:ascii="Cambria" w:eastAsia="Times New Roman" w:hAnsi="Cambria" w:cs="Times New Roman"/>
      <w:b/>
      <w:bCs/>
      <w:sz w:val="26"/>
      <w:szCs w:val="26"/>
      <w:lang w:eastAsia="en-US"/>
    </w:rPr>
  </w:style>
  <w:style w:type="paragraph" w:customStyle="1" w:styleId="Table">
    <w:name w:val="Table"/>
    <w:basedOn w:val="Normal"/>
    <w:rsid w:val="00EC7A51"/>
    <w:pPr>
      <w:keepNext/>
      <w:spacing w:after="0" w:line="240" w:lineRule="auto"/>
      <w:jc w:val="both"/>
      <w:outlineLvl w:val="0"/>
    </w:pPr>
    <w:rPr>
      <w:rFonts w:eastAsia="Times New Roman"/>
      <w:i/>
      <w:iCs w:val="0"/>
      <w:szCs w:val="24"/>
      <w:lang w:val="en-US"/>
    </w:rPr>
  </w:style>
  <w:style w:type="character" w:customStyle="1" w:styleId="capLabel">
    <w:name w:val="capLabel"/>
    <w:basedOn w:val="DefaultParagraphFont"/>
    <w:rsid w:val="00EC7A51"/>
    <w:rPr>
      <w:i/>
      <w:vertAlign w:val="baseline"/>
    </w:rPr>
  </w:style>
  <w:style w:type="paragraph" w:styleId="NormalWeb">
    <w:name w:val="Normal (Web)"/>
    <w:aliases w:val=" webb"/>
    <w:basedOn w:val="Normal"/>
    <w:link w:val="NormalWebChar"/>
    <w:rsid w:val="002824CE"/>
    <w:pPr>
      <w:spacing w:before="100" w:beforeAutospacing="1" w:after="100" w:afterAutospacing="1" w:line="240" w:lineRule="auto"/>
    </w:pPr>
    <w:rPr>
      <w:rFonts w:eastAsia="Times New Roman"/>
      <w:sz w:val="24"/>
      <w:szCs w:val="24"/>
      <w:lang w:eastAsia="bg-BG"/>
    </w:rPr>
  </w:style>
  <w:style w:type="character" w:customStyle="1" w:styleId="NormalWebChar">
    <w:name w:val="Normal (Web) Char"/>
    <w:basedOn w:val="DefaultParagraphFont"/>
    <w:link w:val="NormalWeb"/>
    <w:rsid w:val="002824CE"/>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pa.gov/asmdnerl/models3/doc/science/science.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10\Symposiums\PapersTemplates\papertemplateWord97-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F583-C8D6-465A-BB60-FF5D089A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papertemplateWord97-2003</Template>
  <TotalTime>0</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science</Company>
  <LinksUpToDate>false</LinksUpToDate>
  <CharactersWithSpaces>11363</CharactersWithSpaces>
  <SharedDoc>false</SharedDoc>
  <HLinks>
    <vt:vector size="6" baseType="variant">
      <vt:variant>
        <vt:i4>917508</vt:i4>
      </vt:variant>
      <vt:variant>
        <vt:i4>0</vt:i4>
      </vt:variant>
      <vt:variant>
        <vt:i4>0</vt:i4>
      </vt:variant>
      <vt:variant>
        <vt:i4>5</vt:i4>
      </vt:variant>
      <vt:variant>
        <vt:lpwstr>http://www.epa.gov/asmdnerl/models3/doc/science/science.html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Scientific Events, Bulgaria</dc:subject>
  <dc:creator>science</dc:creator>
  <cp:lastModifiedBy>science</cp:lastModifiedBy>
  <cp:revision>1</cp:revision>
  <dcterms:created xsi:type="dcterms:W3CDTF">2009-09-13T20:10:00Z</dcterms:created>
  <dcterms:modified xsi:type="dcterms:W3CDTF">2009-09-13T20:10:00Z</dcterms:modified>
</cp:coreProperties>
</file>